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00BD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00BDA" w:rsidRDefault="000A03B2" w:rsidP="00DE264A">
            <w:pPr>
              <w:tabs>
                <w:tab w:val="left" w:pos="-108"/>
              </w:tabs>
              <w:ind w:left="-108"/>
              <w:jc w:val="left"/>
              <w:rPr>
                <w:rFonts w:cs="Arial"/>
                <w:b/>
                <w:bCs/>
                <w:i/>
                <w:iCs/>
                <w:color w:val="000066"/>
                <w:sz w:val="12"/>
                <w:szCs w:val="12"/>
                <w:lang w:eastAsia="it-IT"/>
              </w:rPr>
            </w:pPr>
            <w:r w:rsidRPr="00200BDA">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00BDA">
              <w:rPr>
                <w:rFonts w:ascii="AdvP6960" w:hAnsi="AdvP6960" w:cs="AdvP6960"/>
                <w:color w:val="241F20"/>
                <w:szCs w:val="18"/>
                <w:lang w:eastAsia="it-IT"/>
              </w:rPr>
              <w:t xml:space="preserve"> </w:t>
            </w:r>
            <w:r w:rsidRPr="00200BDA">
              <w:rPr>
                <w:rFonts w:cs="Arial"/>
                <w:b/>
                <w:bCs/>
                <w:i/>
                <w:iCs/>
                <w:color w:val="000066"/>
                <w:sz w:val="24"/>
                <w:szCs w:val="24"/>
                <w:lang w:eastAsia="it-IT"/>
              </w:rPr>
              <w:t>CHEMICAL ENGINEERING</w:t>
            </w:r>
            <w:r w:rsidRPr="00200BDA">
              <w:rPr>
                <w:rFonts w:cs="Arial"/>
                <w:b/>
                <w:bCs/>
                <w:i/>
                <w:iCs/>
                <w:color w:val="0033FF"/>
                <w:sz w:val="24"/>
                <w:szCs w:val="24"/>
                <w:lang w:eastAsia="it-IT"/>
              </w:rPr>
              <w:t xml:space="preserve"> </w:t>
            </w:r>
            <w:r w:rsidRPr="00200BDA">
              <w:rPr>
                <w:rFonts w:cs="Arial"/>
                <w:b/>
                <w:bCs/>
                <w:i/>
                <w:iCs/>
                <w:color w:val="666666"/>
                <w:sz w:val="24"/>
                <w:szCs w:val="24"/>
                <w:lang w:eastAsia="it-IT"/>
              </w:rPr>
              <w:t>TRANSACTIONS</w:t>
            </w:r>
            <w:r w:rsidRPr="00200BDA">
              <w:rPr>
                <w:color w:val="333333"/>
                <w:sz w:val="24"/>
                <w:szCs w:val="24"/>
                <w:lang w:eastAsia="it-IT"/>
              </w:rPr>
              <w:t xml:space="preserve"> </w:t>
            </w:r>
            <w:r w:rsidRPr="00200BDA">
              <w:rPr>
                <w:rFonts w:cs="Arial"/>
                <w:b/>
                <w:bCs/>
                <w:i/>
                <w:iCs/>
                <w:color w:val="000066"/>
                <w:sz w:val="27"/>
                <w:szCs w:val="27"/>
                <w:lang w:eastAsia="it-IT"/>
              </w:rPr>
              <w:br/>
            </w:r>
          </w:p>
          <w:p w14:paraId="4B780582" w14:textId="65D5BBBB" w:rsidR="000A03B2" w:rsidRPr="00200BDA" w:rsidRDefault="00A76EFC" w:rsidP="001D21AF">
            <w:pPr>
              <w:tabs>
                <w:tab w:val="left" w:pos="-108"/>
              </w:tabs>
              <w:ind w:left="-108"/>
              <w:rPr>
                <w:rFonts w:cs="Arial"/>
                <w:b/>
                <w:bCs/>
                <w:i/>
                <w:iCs/>
                <w:color w:val="000066"/>
                <w:sz w:val="22"/>
                <w:szCs w:val="22"/>
                <w:lang w:eastAsia="it-IT"/>
              </w:rPr>
            </w:pPr>
            <w:r w:rsidRPr="00200BDA">
              <w:rPr>
                <w:rFonts w:cs="Arial"/>
                <w:b/>
                <w:bCs/>
                <w:i/>
                <w:iCs/>
                <w:color w:val="000066"/>
                <w:sz w:val="22"/>
                <w:szCs w:val="22"/>
                <w:lang w:eastAsia="it-IT"/>
              </w:rPr>
              <w:t xml:space="preserve">VOL. </w:t>
            </w:r>
            <w:r w:rsidR="00D46B7E" w:rsidRPr="00200BDA">
              <w:rPr>
                <w:rFonts w:cs="Arial"/>
                <w:b/>
                <w:bCs/>
                <w:i/>
                <w:iCs/>
                <w:color w:val="000066"/>
                <w:sz w:val="22"/>
                <w:szCs w:val="22"/>
                <w:lang w:eastAsia="it-IT"/>
              </w:rPr>
              <w:t>9</w:t>
            </w:r>
            <w:r w:rsidR="001D21AF" w:rsidRPr="00200BDA">
              <w:rPr>
                <w:rFonts w:cs="Arial"/>
                <w:b/>
                <w:bCs/>
                <w:i/>
                <w:iCs/>
                <w:color w:val="000066"/>
                <w:sz w:val="22"/>
                <w:szCs w:val="22"/>
                <w:lang w:eastAsia="it-IT"/>
              </w:rPr>
              <w:t>2</w:t>
            </w:r>
            <w:r w:rsidR="007B48F9" w:rsidRPr="00200BDA">
              <w:rPr>
                <w:rFonts w:cs="Arial"/>
                <w:b/>
                <w:bCs/>
                <w:i/>
                <w:iCs/>
                <w:color w:val="000066"/>
                <w:sz w:val="22"/>
                <w:szCs w:val="22"/>
                <w:lang w:eastAsia="it-IT"/>
              </w:rPr>
              <w:t>,</w:t>
            </w:r>
            <w:r w:rsidR="00FA5F5F" w:rsidRPr="00200BDA">
              <w:rPr>
                <w:rFonts w:cs="Arial"/>
                <w:b/>
                <w:bCs/>
                <w:i/>
                <w:iCs/>
                <w:color w:val="000066"/>
                <w:sz w:val="22"/>
                <w:szCs w:val="22"/>
                <w:lang w:eastAsia="it-IT"/>
              </w:rPr>
              <w:t xml:space="preserve"> 20</w:t>
            </w:r>
            <w:r w:rsidR="00DF5072" w:rsidRPr="00200BDA">
              <w:rPr>
                <w:rFonts w:cs="Arial"/>
                <w:b/>
                <w:bCs/>
                <w:i/>
                <w:iCs/>
                <w:color w:val="000066"/>
                <w:sz w:val="22"/>
                <w:szCs w:val="22"/>
                <w:lang w:eastAsia="it-IT"/>
              </w:rPr>
              <w:t>2</w:t>
            </w:r>
            <w:r w:rsidR="007B48F9" w:rsidRPr="00200BDA">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200BDA" w:rsidRDefault="000A03B2" w:rsidP="00CD5FE2">
            <w:pPr>
              <w:spacing w:line="140" w:lineRule="atLeast"/>
              <w:jc w:val="right"/>
              <w:rPr>
                <w:rFonts w:cs="Arial"/>
                <w:sz w:val="14"/>
                <w:szCs w:val="14"/>
              </w:rPr>
            </w:pPr>
            <w:r w:rsidRPr="00200BDA">
              <w:rPr>
                <w:rFonts w:cs="Arial"/>
                <w:sz w:val="14"/>
                <w:szCs w:val="14"/>
              </w:rPr>
              <w:t>A publication of</w:t>
            </w:r>
          </w:p>
          <w:p w14:paraId="599E5441" w14:textId="77777777" w:rsidR="000A03B2" w:rsidRPr="00200BDA" w:rsidRDefault="000A03B2" w:rsidP="00CD5FE2">
            <w:pPr>
              <w:jc w:val="right"/>
            </w:pPr>
            <w:r w:rsidRPr="00200BDA">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00BDA" w14:paraId="380FA3CD" w14:textId="77777777" w:rsidTr="00DE264A">
        <w:trPr>
          <w:trHeight w:val="567"/>
          <w:jc w:val="center"/>
        </w:trPr>
        <w:tc>
          <w:tcPr>
            <w:tcW w:w="6946" w:type="dxa"/>
            <w:vMerge/>
            <w:tcBorders>
              <w:right w:val="single" w:sz="4" w:space="0" w:color="auto"/>
            </w:tcBorders>
          </w:tcPr>
          <w:p w14:paraId="39E5E4C1" w14:textId="77777777" w:rsidR="000A03B2" w:rsidRPr="00200BDA"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200BDA" w:rsidRDefault="000A03B2" w:rsidP="00CD5FE2">
            <w:pPr>
              <w:spacing w:line="140" w:lineRule="atLeast"/>
              <w:jc w:val="right"/>
              <w:rPr>
                <w:rFonts w:cs="Arial"/>
                <w:sz w:val="14"/>
                <w:szCs w:val="14"/>
              </w:rPr>
            </w:pPr>
            <w:r w:rsidRPr="00200BDA">
              <w:rPr>
                <w:rFonts w:cs="Arial"/>
                <w:sz w:val="14"/>
                <w:szCs w:val="14"/>
              </w:rPr>
              <w:t>The Italian Association</w:t>
            </w:r>
          </w:p>
          <w:p w14:paraId="7522B1D2" w14:textId="77777777" w:rsidR="000A03B2" w:rsidRPr="00200BDA" w:rsidRDefault="000A03B2" w:rsidP="00CD5FE2">
            <w:pPr>
              <w:spacing w:line="140" w:lineRule="atLeast"/>
              <w:jc w:val="right"/>
              <w:rPr>
                <w:rFonts w:cs="Arial"/>
                <w:sz w:val="14"/>
                <w:szCs w:val="14"/>
              </w:rPr>
            </w:pPr>
            <w:r w:rsidRPr="00200BDA">
              <w:rPr>
                <w:rFonts w:cs="Arial"/>
                <w:sz w:val="14"/>
                <w:szCs w:val="14"/>
              </w:rPr>
              <w:t>of Chemical Engineering</w:t>
            </w:r>
          </w:p>
          <w:p w14:paraId="4F0CC5DE" w14:textId="47FDB2FC" w:rsidR="000A03B2" w:rsidRPr="00200BDA" w:rsidRDefault="000D0268" w:rsidP="00CD5FE2">
            <w:pPr>
              <w:spacing w:line="140" w:lineRule="atLeast"/>
              <w:jc w:val="right"/>
              <w:rPr>
                <w:rFonts w:cs="Arial"/>
                <w:sz w:val="13"/>
                <w:szCs w:val="13"/>
              </w:rPr>
            </w:pPr>
            <w:r w:rsidRPr="00200BDA">
              <w:rPr>
                <w:rFonts w:cs="Arial"/>
                <w:sz w:val="13"/>
                <w:szCs w:val="13"/>
              </w:rPr>
              <w:t>Online at www.cetjournal.it</w:t>
            </w:r>
          </w:p>
        </w:tc>
      </w:tr>
      <w:tr w:rsidR="000A03B2" w:rsidRPr="00200BDA" w14:paraId="2D1B7169" w14:textId="77777777" w:rsidTr="00DE264A">
        <w:trPr>
          <w:trHeight w:val="68"/>
          <w:jc w:val="center"/>
        </w:trPr>
        <w:tc>
          <w:tcPr>
            <w:tcW w:w="8789" w:type="dxa"/>
            <w:gridSpan w:val="2"/>
          </w:tcPr>
          <w:p w14:paraId="4B0BB442" w14:textId="14967F0F" w:rsidR="00300E56" w:rsidRPr="00200BDA" w:rsidRDefault="00300E56" w:rsidP="00B57E6F">
            <w:pPr>
              <w:ind w:left="-107"/>
              <w:outlineLvl w:val="2"/>
              <w:rPr>
                <w:rFonts w:ascii="Tahoma" w:hAnsi="Tahoma" w:cs="Tahoma"/>
                <w:bCs/>
                <w:color w:val="000000"/>
                <w:sz w:val="14"/>
                <w:szCs w:val="14"/>
                <w:lang w:eastAsia="it-IT"/>
              </w:rPr>
            </w:pPr>
            <w:r w:rsidRPr="00200BDA">
              <w:rPr>
                <w:rFonts w:ascii="Tahoma" w:hAnsi="Tahoma" w:cs="Tahoma"/>
                <w:iCs/>
                <w:color w:val="333333"/>
                <w:sz w:val="14"/>
                <w:szCs w:val="14"/>
                <w:lang w:eastAsia="it-IT"/>
              </w:rPr>
              <w:t>Guest Editors:</w:t>
            </w:r>
            <w:r w:rsidR="001D21AF" w:rsidRPr="00200BDA">
              <w:rPr>
                <w:rFonts w:ascii="Tahoma" w:hAnsi="Tahoma" w:cs="Tahoma"/>
                <w:color w:val="000000"/>
                <w:sz w:val="14"/>
                <w:szCs w:val="14"/>
                <w:shd w:val="clear" w:color="auto" w:fill="FFFFFF"/>
              </w:rPr>
              <w:t xml:space="preserve"> Rubens Maciel Filho</w:t>
            </w:r>
            <w:r w:rsidR="00964A45" w:rsidRPr="00200BDA">
              <w:rPr>
                <w:rFonts w:ascii="Tahoma" w:hAnsi="Tahoma" w:cs="Tahoma"/>
                <w:color w:val="000000"/>
                <w:sz w:val="14"/>
                <w:szCs w:val="14"/>
                <w:shd w:val="clear" w:color="auto" w:fill="FFFFFF"/>
              </w:rPr>
              <w:t>, Eliseo Ranzi, Leonardo Tognotti</w:t>
            </w:r>
          </w:p>
          <w:p w14:paraId="1B0F1814" w14:textId="4A78A049" w:rsidR="000A03B2" w:rsidRPr="00200BDA" w:rsidRDefault="00FA5F5F" w:rsidP="001D21AF">
            <w:pPr>
              <w:tabs>
                <w:tab w:val="left" w:pos="-108"/>
              </w:tabs>
              <w:spacing w:line="140" w:lineRule="atLeast"/>
              <w:ind w:left="-107"/>
              <w:jc w:val="left"/>
            </w:pPr>
            <w:r w:rsidRPr="00200BDA">
              <w:rPr>
                <w:rFonts w:ascii="Tahoma" w:hAnsi="Tahoma" w:cs="Tahoma"/>
                <w:iCs/>
                <w:color w:val="333333"/>
                <w:sz w:val="14"/>
                <w:szCs w:val="14"/>
                <w:lang w:eastAsia="it-IT"/>
              </w:rPr>
              <w:t>Copyright © 20</w:t>
            </w:r>
            <w:r w:rsidR="00DF5072" w:rsidRPr="00200BDA">
              <w:rPr>
                <w:rFonts w:ascii="Tahoma" w:hAnsi="Tahoma" w:cs="Tahoma"/>
                <w:iCs/>
                <w:color w:val="333333"/>
                <w:sz w:val="14"/>
                <w:szCs w:val="14"/>
                <w:lang w:eastAsia="it-IT"/>
              </w:rPr>
              <w:t>2</w:t>
            </w:r>
            <w:r w:rsidR="00E72EAD" w:rsidRPr="00200BDA">
              <w:rPr>
                <w:rFonts w:ascii="Tahoma" w:hAnsi="Tahoma" w:cs="Tahoma"/>
                <w:iCs/>
                <w:color w:val="333333"/>
                <w:sz w:val="14"/>
                <w:szCs w:val="14"/>
                <w:lang w:eastAsia="it-IT"/>
              </w:rPr>
              <w:t>2</w:t>
            </w:r>
            <w:r w:rsidR="00904C62" w:rsidRPr="00200BDA">
              <w:rPr>
                <w:rFonts w:ascii="Tahoma" w:hAnsi="Tahoma" w:cs="Tahoma"/>
                <w:iCs/>
                <w:color w:val="333333"/>
                <w:sz w:val="14"/>
                <w:szCs w:val="14"/>
                <w:lang w:eastAsia="it-IT"/>
              </w:rPr>
              <w:t>, AIDIC Servizi S.r.l.</w:t>
            </w:r>
            <w:r w:rsidR="00300E56" w:rsidRPr="00200BDA">
              <w:rPr>
                <w:rFonts w:ascii="Tahoma" w:hAnsi="Tahoma" w:cs="Tahoma"/>
                <w:iCs/>
                <w:color w:val="333333"/>
                <w:sz w:val="14"/>
                <w:szCs w:val="14"/>
                <w:lang w:eastAsia="it-IT"/>
              </w:rPr>
              <w:br/>
            </w:r>
            <w:r w:rsidR="00300E56" w:rsidRPr="00200BDA">
              <w:rPr>
                <w:rFonts w:ascii="Tahoma" w:hAnsi="Tahoma" w:cs="Tahoma"/>
                <w:b/>
                <w:iCs/>
                <w:color w:val="000000"/>
                <w:sz w:val="14"/>
                <w:szCs w:val="14"/>
                <w:lang w:eastAsia="it-IT"/>
              </w:rPr>
              <w:t>ISBN</w:t>
            </w:r>
            <w:r w:rsidR="00300E56" w:rsidRPr="00200BDA">
              <w:rPr>
                <w:rFonts w:ascii="Tahoma" w:hAnsi="Tahoma" w:cs="Tahoma"/>
                <w:iCs/>
                <w:color w:val="000000"/>
                <w:sz w:val="14"/>
                <w:szCs w:val="14"/>
                <w:lang w:eastAsia="it-IT"/>
              </w:rPr>
              <w:t xml:space="preserve"> </w:t>
            </w:r>
            <w:r w:rsidR="008D32B9" w:rsidRPr="00200BDA">
              <w:rPr>
                <w:rFonts w:ascii="Tahoma" w:hAnsi="Tahoma" w:cs="Tahoma"/>
                <w:sz w:val="14"/>
                <w:szCs w:val="14"/>
              </w:rPr>
              <w:t>978-88-95608</w:t>
            </w:r>
            <w:r w:rsidR="00D46B7E" w:rsidRPr="00200BDA">
              <w:rPr>
                <w:rFonts w:ascii="Tahoma" w:hAnsi="Tahoma" w:cs="Tahoma"/>
                <w:sz w:val="14"/>
                <w:szCs w:val="14"/>
              </w:rPr>
              <w:t>-</w:t>
            </w:r>
            <w:r w:rsidR="001D21AF" w:rsidRPr="00200BDA">
              <w:rPr>
                <w:rFonts w:ascii="Tahoma" w:hAnsi="Tahoma" w:cs="Tahoma"/>
                <w:sz w:val="14"/>
                <w:szCs w:val="14"/>
              </w:rPr>
              <w:t>90</w:t>
            </w:r>
            <w:r w:rsidR="00D46B7E" w:rsidRPr="00200BDA">
              <w:rPr>
                <w:rFonts w:ascii="Tahoma" w:hAnsi="Tahoma" w:cs="Tahoma"/>
                <w:sz w:val="14"/>
                <w:szCs w:val="14"/>
              </w:rPr>
              <w:t>-</w:t>
            </w:r>
            <w:r w:rsidR="001D21AF" w:rsidRPr="00200BDA">
              <w:rPr>
                <w:rFonts w:ascii="Tahoma" w:hAnsi="Tahoma" w:cs="Tahoma"/>
                <w:sz w:val="14"/>
                <w:szCs w:val="14"/>
              </w:rPr>
              <w:t>7</w:t>
            </w:r>
            <w:r w:rsidR="007B48F9" w:rsidRPr="00200BDA">
              <w:rPr>
                <w:rFonts w:ascii="Tahoma" w:hAnsi="Tahoma" w:cs="Tahoma"/>
                <w:iCs/>
                <w:color w:val="333333"/>
                <w:sz w:val="14"/>
                <w:szCs w:val="14"/>
                <w:lang w:eastAsia="it-IT"/>
              </w:rPr>
              <w:t>;</w:t>
            </w:r>
            <w:r w:rsidR="00300E56" w:rsidRPr="00200BDA">
              <w:rPr>
                <w:rFonts w:ascii="Tahoma" w:hAnsi="Tahoma" w:cs="Tahoma"/>
                <w:iCs/>
                <w:color w:val="333333"/>
                <w:sz w:val="14"/>
                <w:szCs w:val="14"/>
                <w:lang w:eastAsia="it-IT"/>
              </w:rPr>
              <w:t xml:space="preserve"> </w:t>
            </w:r>
            <w:r w:rsidR="00300E56" w:rsidRPr="00200BDA">
              <w:rPr>
                <w:rFonts w:ascii="Tahoma" w:hAnsi="Tahoma" w:cs="Tahoma"/>
                <w:b/>
                <w:iCs/>
                <w:color w:val="333333"/>
                <w:sz w:val="14"/>
                <w:szCs w:val="14"/>
                <w:lang w:eastAsia="it-IT"/>
              </w:rPr>
              <w:t>ISSN</w:t>
            </w:r>
            <w:r w:rsidR="00300E56" w:rsidRPr="00200BDA">
              <w:rPr>
                <w:rFonts w:ascii="Tahoma" w:hAnsi="Tahoma" w:cs="Tahoma"/>
                <w:iCs/>
                <w:color w:val="333333"/>
                <w:sz w:val="14"/>
                <w:szCs w:val="14"/>
                <w:lang w:eastAsia="it-IT"/>
              </w:rPr>
              <w:t xml:space="preserve"> 2283-9216</w:t>
            </w:r>
          </w:p>
        </w:tc>
      </w:tr>
    </w:tbl>
    <w:p w14:paraId="10DAA130" w14:textId="77777777" w:rsidR="000A03B2" w:rsidRPr="00200BDA" w:rsidRDefault="000A03B2" w:rsidP="000A03B2">
      <w:pPr>
        <w:pStyle w:val="CETAuthors"/>
        <w:sectPr w:rsidR="000A03B2" w:rsidRPr="00200BDA" w:rsidSect="00CD5FE2">
          <w:type w:val="continuous"/>
          <w:pgSz w:w="11906" w:h="16838" w:code="9"/>
          <w:pgMar w:top="1701" w:right="1418" w:bottom="1701" w:left="1701" w:header="1701" w:footer="0" w:gutter="0"/>
          <w:cols w:space="708"/>
          <w:titlePg/>
          <w:docGrid w:linePitch="360"/>
        </w:sectPr>
      </w:pPr>
    </w:p>
    <w:p w14:paraId="2E667253" w14:textId="0672B61F" w:rsidR="00E978D0" w:rsidRPr="00200BDA" w:rsidRDefault="00F05EDB" w:rsidP="00E978D0">
      <w:pPr>
        <w:pStyle w:val="CETTitle"/>
      </w:pPr>
      <w:bookmarkStart w:id="0" w:name="_Hlk94252084"/>
      <w:r w:rsidRPr="00200BDA">
        <w:t xml:space="preserve">Effect of agitation on Taq DNA polymerase production by </w:t>
      </w:r>
      <w:r w:rsidRPr="00200BDA">
        <w:rPr>
          <w:i/>
          <w:iCs/>
        </w:rPr>
        <w:t>Escherichia coli</w:t>
      </w:r>
      <w:r w:rsidRPr="00200BDA">
        <w:t xml:space="preserve"> in bioreactor</w:t>
      </w:r>
      <w:bookmarkEnd w:id="0"/>
    </w:p>
    <w:p w14:paraId="0488FED2" w14:textId="0552A63B" w:rsidR="00B57E6F" w:rsidRPr="005F3B72" w:rsidRDefault="00F05EDB" w:rsidP="00B57E6F">
      <w:pPr>
        <w:pStyle w:val="CETAuthors"/>
        <w:rPr>
          <w:lang w:val="es-CO"/>
        </w:rPr>
      </w:pPr>
      <w:r w:rsidRPr="005F3B72">
        <w:rPr>
          <w:lang w:val="es-CO"/>
        </w:rPr>
        <w:t>Diana Morales-Fonseca</w:t>
      </w:r>
      <w:r w:rsidR="005A2AB6" w:rsidRPr="005F3B72">
        <w:rPr>
          <w:lang w:val="es-CO"/>
        </w:rPr>
        <w:t>*</w:t>
      </w:r>
      <w:r w:rsidR="00B57E6F" w:rsidRPr="005F3B72">
        <w:rPr>
          <w:vertAlign w:val="superscript"/>
          <w:lang w:val="es-CO"/>
        </w:rPr>
        <w:t>a</w:t>
      </w:r>
      <w:r w:rsidR="00B57E6F" w:rsidRPr="005F3B72">
        <w:rPr>
          <w:lang w:val="es-CO"/>
        </w:rPr>
        <w:t xml:space="preserve">, </w:t>
      </w:r>
      <w:r w:rsidR="00D1423E" w:rsidRPr="005F3B72">
        <w:rPr>
          <w:lang w:val="es-CO"/>
        </w:rPr>
        <w:t>Laura Coronado-Jimenez</w:t>
      </w:r>
      <w:r w:rsidR="00D1423E" w:rsidRPr="005F3B72">
        <w:rPr>
          <w:vertAlign w:val="superscript"/>
          <w:lang w:val="es-CO"/>
        </w:rPr>
        <w:t>a</w:t>
      </w:r>
      <w:r w:rsidR="00D1423E" w:rsidRPr="005F3B72">
        <w:rPr>
          <w:lang w:val="es-CO"/>
        </w:rPr>
        <w:t>, Valentina Gonzalez-Moya</w:t>
      </w:r>
      <w:r w:rsidR="00D1423E" w:rsidRPr="005F3B72">
        <w:rPr>
          <w:vertAlign w:val="superscript"/>
          <w:lang w:val="es-CO"/>
        </w:rPr>
        <w:t>a</w:t>
      </w:r>
      <w:r w:rsidR="00D1423E" w:rsidRPr="005F3B72">
        <w:rPr>
          <w:lang w:val="es-CO"/>
        </w:rPr>
        <w:t xml:space="preserve"> María Mercedes</w:t>
      </w:r>
      <w:r w:rsidR="00B15392" w:rsidRPr="005F3B72">
        <w:rPr>
          <w:lang w:val="es-CO"/>
        </w:rPr>
        <w:t>-</w:t>
      </w:r>
      <w:r w:rsidR="00D1423E" w:rsidRPr="005F3B72">
        <w:rPr>
          <w:lang w:val="es-CO"/>
        </w:rPr>
        <w:t>Zambrano</w:t>
      </w:r>
      <w:r w:rsidR="00B57E6F" w:rsidRPr="005F3B72">
        <w:rPr>
          <w:vertAlign w:val="superscript"/>
          <w:lang w:val="es-CO"/>
        </w:rPr>
        <w:t>b</w:t>
      </w:r>
      <w:r w:rsidR="00B57E6F" w:rsidRPr="005F3B72">
        <w:rPr>
          <w:lang w:val="es-CO"/>
        </w:rPr>
        <w:t>,</w:t>
      </w:r>
      <w:r w:rsidR="004927E4" w:rsidRPr="005F3B72">
        <w:rPr>
          <w:lang w:val="es-CO"/>
        </w:rPr>
        <w:t xml:space="preserve"> Juan Sandoval</w:t>
      </w:r>
      <w:r w:rsidR="00200BDA" w:rsidRPr="005F3B72">
        <w:rPr>
          <w:lang w:val="es-CO"/>
        </w:rPr>
        <w:t>-Herrera</w:t>
      </w:r>
      <w:r w:rsidR="004927E4" w:rsidRPr="005F3B72">
        <w:rPr>
          <w:vertAlign w:val="superscript"/>
          <w:lang w:val="es-CO"/>
        </w:rPr>
        <w:t>a</w:t>
      </w:r>
      <w:r w:rsidR="004927E4" w:rsidRPr="005F3B72">
        <w:rPr>
          <w:lang w:val="es-CO"/>
        </w:rPr>
        <w:t>, Jaime E. Arturo-Calvache</w:t>
      </w:r>
      <w:r w:rsidR="004927E4" w:rsidRPr="005F3B72">
        <w:rPr>
          <w:vertAlign w:val="superscript"/>
          <w:lang w:val="es-CO"/>
        </w:rPr>
        <w:t>a</w:t>
      </w:r>
      <w:r w:rsidR="007B4FA4" w:rsidRPr="005F3B72">
        <w:rPr>
          <w:lang w:val="es-CO"/>
        </w:rPr>
        <w:t>.</w:t>
      </w:r>
      <w:r w:rsidR="004927E4" w:rsidRPr="005F3B72">
        <w:rPr>
          <w:lang w:val="es-CO"/>
        </w:rPr>
        <w:t xml:space="preserve"> </w:t>
      </w:r>
    </w:p>
    <w:p w14:paraId="6B2D21B3" w14:textId="4D30767D" w:rsidR="00B57E6F" w:rsidRPr="005F3B72" w:rsidRDefault="00B57E6F" w:rsidP="00B57E6F">
      <w:pPr>
        <w:pStyle w:val="CETAddress"/>
        <w:rPr>
          <w:lang w:val="es-CO"/>
        </w:rPr>
      </w:pPr>
      <w:r w:rsidRPr="005F3B72">
        <w:rPr>
          <w:vertAlign w:val="superscript"/>
          <w:lang w:val="es-CO"/>
        </w:rPr>
        <w:t>a</w:t>
      </w:r>
      <w:r w:rsidR="004927E4" w:rsidRPr="005F3B72">
        <w:rPr>
          <w:vertAlign w:val="superscript"/>
          <w:lang w:val="es-CO"/>
        </w:rPr>
        <w:t xml:space="preserve"> </w:t>
      </w:r>
      <w:r w:rsidR="004927E4" w:rsidRPr="005F3B72">
        <w:rPr>
          <w:lang w:val="es-CO"/>
        </w:rPr>
        <w:t xml:space="preserve">Department of Chemical and Environmental Engineering, Fundación Universidad de América, Bogotá, Colombia. </w:t>
      </w:r>
    </w:p>
    <w:p w14:paraId="3D72B0B0" w14:textId="6415A916" w:rsidR="00B57E6F" w:rsidRPr="005F3B72" w:rsidRDefault="00B57E6F" w:rsidP="00B57E6F">
      <w:pPr>
        <w:pStyle w:val="CETAddress"/>
        <w:rPr>
          <w:lang w:val="es-CO"/>
        </w:rPr>
      </w:pPr>
      <w:r w:rsidRPr="005F3B72">
        <w:rPr>
          <w:vertAlign w:val="superscript"/>
          <w:lang w:val="es-CO"/>
        </w:rPr>
        <w:t>b</w:t>
      </w:r>
      <w:r w:rsidR="00DB0F56" w:rsidRPr="005F3B72">
        <w:rPr>
          <w:lang w:val="es-CO"/>
        </w:rPr>
        <w:t>Corporación Corpogen, Bogotá, Colombia.</w:t>
      </w:r>
    </w:p>
    <w:p w14:paraId="73F1267A" w14:textId="5120648D" w:rsidR="00B57E6F" w:rsidRPr="005F3B72" w:rsidRDefault="005A2AB6" w:rsidP="00B57E6F">
      <w:pPr>
        <w:pStyle w:val="CETemail"/>
        <w:rPr>
          <w:lang w:val="es-CO"/>
        </w:rPr>
      </w:pPr>
      <w:r w:rsidRPr="005F3B72">
        <w:rPr>
          <w:lang w:val="es-CO"/>
        </w:rPr>
        <w:t>d</w:t>
      </w:r>
      <w:r w:rsidR="00DB0F56" w:rsidRPr="005F3B72">
        <w:rPr>
          <w:lang w:val="es-CO"/>
        </w:rPr>
        <w:t>iana.morales@profesores.uamerica.edu.co</w:t>
      </w:r>
    </w:p>
    <w:p w14:paraId="4EEBD14A" w14:textId="77777777" w:rsidR="0039509A" w:rsidRPr="00200BDA" w:rsidRDefault="0039509A" w:rsidP="0039509A">
      <w:pPr>
        <w:spacing w:before="240" w:after="240"/>
      </w:pPr>
      <w:r w:rsidRPr="00200BDA">
        <w:t>The Taq DNA polymerase is an important protein used during PCR (Polymerase chain reaction), a technique widely used today. The production of this enzyme in bioreactors make possible to improve efficiency, to reduce production time, to increase production and expression, or to reduce production costs. This is achieved thanks to the measurement, monitoring and control of the different parameters that influence this biotechnological process: dissolved oxygen, pH, temperature, incubation time, agitation during the incubation and induction phase.</w:t>
      </w:r>
    </w:p>
    <w:p w14:paraId="47C8EC8F" w14:textId="6B2F96A4" w:rsidR="0039509A" w:rsidRPr="00200BDA" w:rsidRDefault="0039509A" w:rsidP="0039509A">
      <w:pPr>
        <w:spacing w:before="240" w:after="240"/>
      </w:pPr>
      <w:r w:rsidRPr="00200BDA">
        <w:t xml:space="preserve">In the present work, the production of Taq polymerase expressed in </w:t>
      </w:r>
      <w:r w:rsidRPr="00200BDA">
        <w:rPr>
          <w:i/>
          <w:iCs/>
        </w:rPr>
        <w:t>Escherichia coli</w:t>
      </w:r>
      <w:r w:rsidRPr="00200BDA">
        <w:t>, was made on a bioreactor scale, BioFlo/CelliGen 115®, with a volume of 1 L, equipped with temperature (37 °C) and pH (6</w:t>
      </w:r>
      <w:r w:rsidR="00071BA1">
        <w:rPr>
          <w:color w:val="FF0000"/>
        </w:rPr>
        <w:t>.</w:t>
      </w:r>
      <w:r w:rsidRPr="00200BDA">
        <w:t xml:space="preserve">5) control, and with a constant level of dissolved oxygen provided by a 1 vvm flow of air. After the induction phase, we extracted the polymerase by cell disruption using centrifugation and some substances. For the protein measurement </w:t>
      </w:r>
      <w:r w:rsidR="00391484">
        <w:t>was</w:t>
      </w:r>
      <w:r w:rsidRPr="00200BDA">
        <w:t xml:space="preserve"> implemented </w:t>
      </w:r>
      <w:r w:rsidR="00B76631">
        <w:t>d</w:t>
      </w:r>
      <w:r w:rsidRPr="00200BDA">
        <w:t xml:space="preserve"> technique</w:t>
      </w:r>
      <w:r w:rsidR="00391484">
        <w:t xml:space="preserve"> and</w:t>
      </w:r>
      <w:r w:rsidRPr="00200BDA">
        <w:t xml:space="preserve"> SDS-PAGE electrophoresi</w:t>
      </w:r>
      <w:r w:rsidR="00391484">
        <w:t>s</w:t>
      </w:r>
      <w:r w:rsidRPr="00200BDA">
        <w:t>.</w:t>
      </w:r>
    </w:p>
    <w:p w14:paraId="241B3879" w14:textId="6F6E8B2F" w:rsidR="0039509A" w:rsidRPr="00200BDA" w:rsidRDefault="0039509A" w:rsidP="000D4731">
      <w:pPr>
        <w:pStyle w:val="CETListbullets"/>
        <w:ind w:left="0" w:firstLine="0"/>
      </w:pPr>
      <w:r w:rsidRPr="00200BDA">
        <w:t>According to gel electrophoresis results, molecular weight of the protein obtained in bioreactor was 80 kD, similar to the value of commercial production in flasks. The effect of agitation on protein concentration after induction was studied at two levels: 220 and 350 rpm, the study found a production of 1465</w:t>
      </w:r>
      <m:oMath>
        <m:r>
          <w:rPr>
            <w:rFonts w:ascii="Cambria Math" w:hAnsi="Cambria Math"/>
          </w:rPr>
          <m:t xml:space="preserve"> μg </m:t>
        </m:r>
        <m:sSup>
          <m:sSupPr>
            <m:ctrlPr>
              <w:rPr>
                <w:rFonts w:ascii="Cambria Math" w:hAnsi="Cambria Math"/>
              </w:rPr>
            </m:ctrlPr>
          </m:sSupPr>
          <m:e>
            <m:r>
              <w:rPr>
                <w:rFonts w:ascii="Cambria Math" w:hAnsi="Cambria Math"/>
              </w:rPr>
              <m:t>L</m:t>
            </m:r>
          </m:e>
          <m:sup>
            <m:r>
              <w:rPr>
                <w:rFonts w:ascii="Cambria Math" w:hAnsi="Cambria Math"/>
              </w:rPr>
              <m:t>-1</m:t>
            </m:r>
          </m:sup>
        </m:sSup>
      </m:oMath>
      <w:r w:rsidRPr="00200BDA">
        <w:t xml:space="preserve"> and 2975 </w:t>
      </w:r>
      <m:oMath>
        <m:r>
          <w:rPr>
            <w:rFonts w:ascii="Cambria Math" w:hAnsi="Cambria Math"/>
          </w:rPr>
          <m:t xml:space="preserve">μg </m:t>
        </m:r>
        <m:sSup>
          <m:sSupPr>
            <m:ctrlPr>
              <w:rPr>
                <w:rFonts w:ascii="Cambria Math" w:hAnsi="Cambria Math"/>
              </w:rPr>
            </m:ctrlPr>
          </m:sSupPr>
          <m:e>
            <m:r>
              <w:rPr>
                <w:rFonts w:ascii="Cambria Math" w:hAnsi="Cambria Math"/>
              </w:rPr>
              <m:t>L</m:t>
            </m:r>
          </m:e>
          <m:sup>
            <m:r>
              <w:rPr>
                <w:rFonts w:ascii="Cambria Math" w:hAnsi="Cambria Math"/>
              </w:rPr>
              <m:t>-1</m:t>
            </m:r>
          </m:sup>
        </m:sSup>
      </m:oMath>
      <w:r w:rsidRPr="00200BDA">
        <w:t xml:space="preserve"> of protein respectively. The results confirm a higher production of protein in this bioreactor, keeping the type of polymerase. This could be the first step to scale the production with controlled conditions at higher rates</w:t>
      </w:r>
      <w:r w:rsidR="003E3487">
        <w:t>.</w:t>
      </w:r>
    </w:p>
    <w:p w14:paraId="476B2F2E" w14:textId="6536B3E9" w:rsidR="00600535" w:rsidRPr="00200BDA" w:rsidRDefault="00600535" w:rsidP="00600535">
      <w:pPr>
        <w:pStyle w:val="CETHeading1"/>
        <w:rPr>
          <w:lang w:val="en-GB"/>
        </w:rPr>
      </w:pPr>
      <w:r w:rsidRPr="00200BDA">
        <w:rPr>
          <w:lang w:val="en-GB"/>
        </w:rPr>
        <w:t>Introduction</w:t>
      </w:r>
    </w:p>
    <w:p w14:paraId="23F86FEF" w14:textId="4778EB87" w:rsidR="00600535" w:rsidRPr="00200BDA" w:rsidRDefault="002E4D07" w:rsidP="000D4731">
      <w:pPr>
        <w:spacing w:line="240" w:lineRule="atLeast"/>
        <w:rPr>
          <w:rFonts w:eastAsia="Arial" w:cs="Arial"/>
          <w:color w:val="000000"/>
          <w:szCs w:val="18"/>
          <w:highlight w:val="white"/>
        </w:rPr>
      </w:pPr>
      <w:r w:rsidRPr="00200BDA">
        <w:rPr>
          <w:rFonts w:eastAsia="Arial" w:cs="Arial"/>
          <w:color w:val="000000"/>
          <w:szCs w:val="18"/>
          <w:highlight w:val="white"/>
        </w:rPr>
        <w:t>The production of he</w:t>
      </w:r>
      <w:r w:rsidR="000D4731" w:rsidRPr="00200BDA">
        <w:rPr>
          <w:rFonts w:eastAsia="Arial" w:cs="Arial"/>
          <w:color w:val="000000"/>
          <w:szCs w:val="18"/>
          <w:highlight w:val="white"/>
        </w:rPr>
        <w:t>te</w:t>
      </w:r>
      <w:r w:rsidRPr="00200BDA">
        <w:rPr>
          <w:rFonts w:eastAsia="Arial" w:cs="Arial"/>
          <w:color w:val="000000"/>
          <w:szCs w:val="18"/>
          <w:highlight w:val="white"/>
        </w:rPr>
        <w:t>rologous proteins on a bank and industrial scale represents the opportunity to design bioprocess with higher yields and profitability tha</w:t>
      </w:r>
      <w:r w:rsidR="000D4731" w:rsidRPr="00200BDA">
        <w:rPr>
          <w:rFonts w:eastAsia="Arial" w:cs="Arial"/>
          <w:color w:val="000000"/>
          <w:szCs w:val="18"/>
          <w:highlight w:val="white"/>
        </w:rPr>
        <w:t>t</w:t>
      </w:r>
      <w:r w:rsidRPr="00200BDA">
        <w:rPr>
          <w:rFonts w:eastAsia="Arial" w:cs="Arial"/>
          <w:color w:val="000000"/>
          <w:szCs w:val="18"/>
          <w:highlight w:val="white"/>
        </w:rPr>
        <w:t xml:space="preserve"> allow more accessible commercial values, especially in the field of industrial biotechnology in Colombia. </w:t>
      </w:r>
      <w:r w:rsidR="004B6324" w:rsidRPr="00200BDA">
        <w:rPr>
          <w:rFonts w:eastAsia="Arial" w:cs="Arial"/>
          <w:color w:val="000000"/>
          <w:szCs w:val="18"/>
          <w:highlight w:val="white"/>
        </w:rPr>
        <w:t>The Taq DNA polymerase is an essential enzyme used to amplify DNA sequences by PCR technique</w:t>
      </w:r>
      <w:r w:rsidR="00373D73" w:rsidRPr="00200BDA">
        <w:rPr>
          <w:rFonts w:eastAsia="Arial" w:cs="Arial"/>
          <w:color w:val="000000"/>
          <w:szCs w:val="18"/>
          <w:highlight w:val="white"/>
        </w:rPr>
        <w:t xml:space="preserve">, the enzyme was extracted from thermophilic bacteria and for its production it is expressed in a </w:t>
      </w:r>
      <w:r w:rsidR="000D4731" w:rsidRPr="00200BDA">
        <w:rPr>
          <w:rFonts w:eastAsia="Arial" w:cs="Arial"/>
          <w:color w:val="000000"/>
          <w:szCs w:val="18"/>
          <w:highlight w:val="white"/>
        </w:rPr>
        <w:t>fast-growing</w:t>
      </w:r>
      <w:r w:rsidR="00373D73" w:rsidRPr="00200BDA">
        <w:rPr>
          <w:rFonts w:eastAsia="Arial" w:cs="Arial"/>
          <w:color w:val="000000"/>
          <w:szCs w:val="18"/>
          <w:highlight w:val="white"/>
        </w:rPr>
        <w:t xml:space="preserve"> bacteria </w:t>
      </w:r>
      <w:r w:rsidR="00373D73" w:rsidRPr="00200BDA">
        <w:rPr>
          <w:rFonts w:eastAsia="Arial" w:cs="Arial"/>
          <w:i/>
          <w:iCs/>
          <w:color w:val="000000"/>
          <w:szCs w:val="18"/>
          <w:highlight w:val="white"/>
        </w:rPr>
        <w:t>Escherichia coli</w:t>
      </w:r>
      <w:r w:rsidR="00373D73" w:rsidRPr="00200BDA">
        <w:rPr>
          <w:rFonts w:eastAsia="Arial" w:cs="Arial"/>
          <w:color w:val="000000"/>
          <w:szCs w:val="18"/>
          <w:highlight w:val="white"/>
        </w:rPr>
        <w:t xml:space="preserve"> as heterologous protein</w:t>
      </w:r>
      <w:r w:rsidR="00B426F5" w:rsidRPr="00200BDA">
        <w:rPr>
          <w:rFonts w:eastAsia="Arial" w:cs="Arial"/>
          <w:color w:val="000000"/>
          <w:szCs w:val="18"/>
          <w:highlight w:val="white"/>
        </w:rPr>
        <w:t xml:space="preserve"> (Sung-Gun and Jong-Tae,</w:t>
      </w:r>
      <w:r w:rsidR="00B15392">
        <w:rPr>
          <w:rFonts w:eastAsia="Arial" w:cs="Arial"/>
          <w:color w:val="000000"/>
          <w:szCs w:val="18"/>
          <w:highlight w:val="white"/>
        </w:rPr>
        <w:t xml:space="preserve"> </w:t>
      </w:r>
      <w:r w:rsidR="00B426F5" w:rsidRPr="00200BDA">
        <w:rPr>
          <w:rFonts w:eastAsia="Arial" w:cs="Arial"/>
          <w:color w:val="000000"/>
          <w:szCs w:val="18"/>
          <w:highlight w:val="white"/>
        </w:rPr>
        <w:t>2014)</w:t>
      </w:r>
      <w:r w:rsidR="00373D73" w:rsidRPr="00200BDA">
        <w:rPr>
          <w:rFonts w:eastAsia="Arial" w:cs="Arial"/>
          <w:color w:val="000000"/>
          <w:szCs w:val="18"/>
          <w:highlight w:val="white"/>
        </w:rPr>
        <w:t xml:space="preserve">. </w:t>
      </w:r>
    </w:p>
    <w:p w14:paraId="62B6D14D" w14:textId="7DC4485F" w:rsidR="009C08F3" w:rsidRPr="00200BDA" w:rsidRDefault="009C08F3" w:rsidP="000D4731">
      <w:pPr>
        <w:spacing w:line="240" w:lineRule="atLeast"/>
        <w:rPr>
          <w:rFonts w:eastAsia="Arial" w:cs="Arial"/>
          <w:color w:val="000000"/>
          <w:szCs w:val="18"/>
          <w:highlight w:val="white"/>
        </w:rPr>
      </w:pPr>
    </w:p>
    <w:p w14:paraId="6E197306" w14:textId="7EDE6F39" w:rsidR="009C08F3" w:rsidRPr="00200BDA" w:rsidRDefault="009C08F3" w:rsidP="000D4731">
      <w:pPr>
        <w:spacing w:line="240" w:lineRule="atLeast"/>
        <w:rPr>
          <w:rFonts w:eastAsia="Arial" w:cs="Arial"/>
          <w:color w:val="000000"/>
          <w:szCs w:val="18"/>
          <w:highlight w:val="white"/>
        </w:rPr>
      </w:pPr>
      <w:r w:rsidRPr="00200BDA">
        <w:rPr>
          <w:rFonts w:eastAsia="Arial" w:cs="Arial"/>
          <w:color w:val="000000"/>
          <w:szCs w:val="18"/>
          <w:highlight w:val="white"/>
        </w:rPr>
        <w:t>Several factors affect the expression of a metabolite of interest on the part of a microorganism, aspects such as metabolism, genetic regulation</w:t>
      </w:r>
      <w:r w:rsidR="000D4731" w:rsidRPr="00200BDA">
        <w:rPr>
          <w:rFonts w:eastAsia="Arial" w:cs="Arial"/>
          <w:color w:val="000000"/>
          <w:szCs w:val="18"/>
          <w:highlight w:val="white"/>
        </w:rPr>
        <w:t>,</w:t>
      </w:r>
      <w:r w:rsidRPr="00200BDA">
        <w:rPr>
          <w:rFonts w:eastAsia="Arial" w:cs="Arial"/>
          <w:color w:val="000000"/>
          <w:szCs w:val="18"/>
          <w:highlight w:val="white"/>
        </w:rPr>
        <w:t xml:space="preserve"> and the conditions of bioreactor</w:t>
      </w:r>
      <w:r w:rsidR="000D4731" w:rsidRPr="00200BDA">
        <w:rPr>
          <w:rFonts w:eastAsia="Arial" w:cs="Arial"/>
          <w:color w:val="000000"/>
          <w:szCs w:val="18"/>
          <w:highlight w:val="white"/>
        </w:rPr>
        <w:t xml:space="preserve"> operation</w:t>
      </w:r>
      <w:r w:rsidRPr="00200BDA">
        <w:rPr>
          <w:rFonts w:eastAsia="Arial" w:cs="Arial"/>
          <w:color w:val="000000"/>
          <w:szCs w:val="18"/>
          <w:highlight w:val="white"/>
        </w:rPr>
        <w:t xml:space="preserve">, it is important to </w:t>
      </w:r>
      <w:r w:rsidR="000D4731" w:rsidRPr="00200BDA">
        <w:rPr>
          <w:rFonts w:eastAsia="Arial" w:cs="Arial"/>
          <w:color w:val="000000"/>
          <w:szCs w:val="18"/>
          <w:highlight w:val="white"/>
        </w:rPr>
        <w:t>consider</w:t>
      </w:r>
      <w:r w:rsidRPr="00200BDA">
        <w:rPr>
          <w:rFonts w:eastAsia="Arial" w:cs="Arial"/>
          <w:color w:val="000000"/>
          <w:szCs w:val="18"/>
          <w:highlight w:val="white"/>
        </w:rPr>
        <w:t xml:space="preserve"> criteria such as volume, temperature, aeration</w:t>
      </w:r>
      <w:r w:rsidR="000D4731" w:rsidRPr="00200BDA">
        <w:rPr>
          <w:rFonts w:eastAsia="Arial" w:cs="Arial"/>
          <w:color w:val="000000"/>
          <w:szCs w:val="18"/>
          <w:highlight w:val="white"/>
        </w:rPr>
        <w:t>,</w:t>
      </w:r>
      <w:r w:rsidRPr="00200BDA">
        <w:rPr>
          <w:rFonts w:eastAsia="Arial" w:cs="Arial"/>
          <w:color w:val="000000"/>
          <w:szCs w:val="18"/>
          <w:highlight w:val="white"/>
        </w:rPr>
        <w:t xml:space="preserve"> and agitation of the </w:t>
      </w:r>
      <w:r w:rsidR="000D4731" w:rsidRPr="00200BDA">
        <w:rPr>
          <w:rFonts w:eastAsia="Arial" w:cs="Arial"/>
          <w:color w:val="000000"/>
          <w:szCs w:val="18"/>
          <w:highlight w:val="white"/>
        </w:rPr>
        <w:t>s</w:t>
      </w:r>
      <w:r w:rsidRPr="00200BDA">
        <w:rPr>
          <w:rFonts w:eastAsia="Arial" w:cs="Arial"/>
          <w:color w:val="000000"/>
          <w:szCs w:val="18"/>
          <w:highlight w:val="white"/>
        </w:rPr>
        <w:t>ystem, among others. In the case of products obtained by recombinant DNA technology, it is necessary to specify how these conditions affect the stability of the plasmid reflected in the expression of the protein (Che et al., 2016)</w:t>
      </w:r>
      <w:r w:rsidR="003E3487">
        <w:rPr>
          <w:rFonts w:eastAsia="Arial" w:cs="Arial"/>
          <w:color w:val="000000"/>
          <w:szCs w:val="18"/>
          <w:highlight w:val="white"/>
        </w:rPr>
        <w:t>.</w:t>
      </w:r>
    </w:p>
    <w:p w14:paraId="484E60C4" w14:textId="401AABE6" w:rsidR="003947DE" w:rsidRPr="00275997" w:rsidRDefault="003947DE" w:rsidP="00431A56">
      <w:pPr>
        <w:spacing w:line="240" w:lineRule="atLeast"/>
      </w:pPr>
      <w:r w:rsidRPr="00275997">
        <w:t xml:space="preserve">The production of Taq Polymerase is documented at laboratory scale in </w:t>
      </w:r>
      <w:r w:rsidR="00275997" w:rsidRPr="00275997">
        <w:t>flasks;</w:t>
      </w:r>
      <w:r w:rsidRPr="00275997">
        <w:t xml:space="preserve"> however, this limits the options to constantly monitor and control the evolution of the fermentation process</w:t>
      </w:r>
      <w:r w:rsidR="00275997">
        <w:t>.</w:t>
      </w:r>
      <w:r w:rsidRPr="00275997">
        <w:t xml:space="preserve"> </w:t>
      </w:r>
      <w:r w:rsidR="00275997">
        <w:t>B</w:t>
      </w:r>
      <w:r w:rsidRPr="00275997">
        <w:t xml:space="preserve">ioreactors allow the development </w:t>
      </w:r>
      <w:r w:rsidRPr="00275997">
        <w:lastRenderedPageBreak/>
        <w:t xml:space="preserve">of different biotechnological processes </w:t>
      </w:r>
      <w:r w:rsidR="005F3B72" w:rsidRPr="00275997">
        <w:t>because</w:t>
      </w:r>
      <w:r w:rsidRPr="00275997">
        <w:t xml:space="preserve"> they offer operational control at different scales </w:t>
      </w:r>
      <w:r w:rsidRPr="003E2590">
        <w:t>(</w:t>
      </w:r>
      <w:r w:rsidR="00442017" w:rsidRPr="003E2590">
        <w:t>Liu</w:t>
      </w:r>
      <w:r w:rsidRPr="00275997">
        <w:t>.,2020). The bioreactor used in this work is the BioFlo/Celligen 115®, a continuous agitation bioreactor, which provides process control for pH, agitation, dissolved oxygen and temperature, and in turn has the Biocommand software, which allows monitoring environmental parameters (Eppendorf., 2009).</w:t>
      </w:r>
    </w:p>
    <w:p w14:paraId="4DD6B545" w14:textId="77777777" w:rsidR="007B3992" w:rsidRPr="00275997" w:rsidRDefault="007B3992" w:rsidP="00431A56">
      <w:pPr>
        <w:spacing w:line="240" w:lineRule="atLeast"/>
        <w:rPr>
          <w:rFonts w:eastAsia="Arial" w:cs="Arial"/>
          <w:szCs w:val="18"/>
        </w:rPr>
      </w:pPr>
      <w:r w:rsidRPr="00275997">
        <w:rPr>
          <w:rFonts w:eastAsia="Arial" w:cs="Arial"/>
          <w:szCs w:val="18"/>
          <w:highlight w:val="white"/>
        </w:rPr>
        <w:t> </w:t>
      </w:r>
    </w:p>
    <w:p w14:paraId="375FC05F" w14:textId="7BA53871" w:rsidR="009E181F" w:rsidRPr="00275997" w:rsidRDefault="009E181F" w:rsidP="00431A56">
      <w:pPr>
        <w:spacing w:line="240" w:lineRule="atLeast"/>
        <w:rPr>
          <w:rFonts w:eastAsia="Arial" w:cs="Arial"/>
          <w:szCs w:val="18"/>
          <w:highlight w:val="white"/>
        </w:rPr>
      </w:pPr>
      <w:r w:rsidRPr="00275997">
        <w:rPr>
          <w:rFonts w:eastAsia="Arial" w:cs="Arial"/>
          <w:szCs w:val="18"/>
        </w:rPr>
        <w:t xml:space="preserve">The main objective of this work was to study the effect of agitation on the production of the commercial enzyme Taq polymerase Tucan Taq® from a recombinant strain of </w:t>
      </w:r>
      <w:r w:rsidRPr="00275997">
        <w:rPr>
          <w:rFonts w:eastAsia="Arial" w:cs="Arial"/>
          <w:i/>
          <w:iCs/>
          <w:szCs w:val="18"/>
        </w:rPr>
        <w:t>E. coli</w:t>
      </w:r>
      <w:r w:rsidRPr="00275997">
        <w:rPr>
          <w:rFonts w:eastAsia="Arial" w:cs="Arial"/>
          <w:szCs w:val="18"/>
        </w:rPr>
        <w:t xml:space="preserve"> in a bioreactor with an effective volume of 400 m</w:t>
      </w:r>
      <w:r w:rsidR="005F3B72" w:rsidRPr="00275997">
        <w:rPr>
          <w:rFonts w:eastAsia="Arial" w:cs="Arial"/>
          <w:szCs w:val="18"/>
        </w:rPr>
        <w:t>L</w:t>
      </w:r>
      <w:r w:rsidRPr="00275997">
        <w:rPr>
          <w:rFonts w:eastAsia="Arial" w:cs="Arial"/>
          <w:szCs w:val="18"/>
        </w:rPr>
        <w:t xml:space="preserve">, keeping </w:t>
      </w:r>
      <w:r w:rsidR="005F3B72" w:rsidRPr="00275997">
        <w:rPr>
          <w:rFonts w:eastAsia="Arial" w:cs="Arial"/>
          <w:szCs w:val="18"/>
        </w:rPr>
        <w:t>an</w:t>
      </w:r>
      <w:r w:rsidRPr="00275997">
        <w:rPr>
          <w:rFonts w:eastAsia="Arial" w:cs="Arial"/>
          <w:szCs w:val="18"/>
        </w:rPr>
        <w:t xml:space="preserve"> </w:t>
      </w:r>
      <w:r w:rsidR="005F3B72" w:rsidRPr="00275997">
        <w:rPr>
          <w:rFonts w:eastAsia="Arial" w:cs="Arial"/>
          <w:szCs w:val="18"/>
        </w:rPr>
        <w:t>air</w:t>
      </w:r>
      <w:r w:rsidRPr="00275997">
        <w:rPr>
          <w:rFonts w:eastAsia="Arial" w:cs="Arial"/>
          <w:szCs w:val="18"/>
        </w:rPr>
        <w:t>flow of 1 vvm. The results of the enzymatic expression were compared with the laboratory-scale production in shake flasks to establish that the production on a larger scale does not alter the stability of the plasmid and the bioproduct.</w:t>
      </w:r>
    </w:p>
    <w:p w14:paraId="5741900F" w14:textId="55F467D7" w:rsidR="00453E24" w:rsidRPr="00200BDA" w:rsidRDefault="00391270" w:rsidP="00453E24">
      <w:pPr>
        <w:pStyle w:val="CETHeading1"/>
        <w:rPr>
          <w:lang w:val="en-GB"/>
        </w:rPr>
      </w:pPr>
      <w:r w:rsidRPr="00200BDA">
        <w:rPr>
          <w:lang w:val="en-GB"/>
        </w:rPr>
        <w:t>Materials and method</w:t>
      </w:r>
    </w:p>
    <w:p w14:paraId="06BB27EE" w14:textId="20414417" w:rsidR="00391270" w:rsidRPr="00200BDA" w:rsidRDefault="005526D4" w:rsidP="00B53D83">
      <w:pPr>
        <w:pStyle w:val="CETheadingx"/>
        <w:rPr>
          <w:rFonts w:eastAsia="Arial"/>
          <w:highlight w:val="white"/>
          <w:lang w:val="en-GB"/>
        </w:rPr>
      </w:pPr>
      <w:r w:rsidRPr="00200BDA">
        <w:rPr>
          <w:rFonts w:eastAsia="Arial"/>
          <w:highlight w:val="white"/>
          <w:lang w:val="en-GB"/>
        </w:rPr>
        <w:t xml:space="preserve">Microorganism </w:t>
      </w:r>
    </w:p>
    <w:p w14:paraId="373ED182" w14:textId="14DA355A" w:rsidR="00391270" w:rsidRPr="00200BDA" w:rsidRDefault="004E063D" w:rsidP="00391270">
      <w:pPr>
        <w:spacing w:line="240" w:lineRule="atLeast"/>
        <w:rPr>
          <w:rFonts w:eastAsia="Arial" w:cs="Arial"/>
          <w:szCs w:val="18"/>
        </w:rPr>
      </w:pPr>
      <w:r w:rsidRPr="00200BDA">
        <w:rPr>
          <w:rFonts w:eastAsia="Arial" w:cs="Arial"/>
          <w:i/>
          <w:iCs/>
          <w:color w:val="000000"/>
          <w:szCs w:val="18"/>
          <w:highlight w:val="white"/>
        </w:rPr>
        <w:t>E.</w:t>
      </w:r>
      <w:r w:rsidR="00507C71" w:rsidRPr="00200BDA">
        <w:rPr>
          <w:rFonts w:eastAsia="Arial" w:cs="Arial"/>
          <w:i/>
          <w:iCs/>
          <w:color w:val="000000"/>
          <w:szCs w:val="18"/>
          <w:highlight w:val="white"/>
        </w:rPr>
        <w:t xml:space="preserve"> </w:t>
      </w:r>
      <w:r w:rsidRPr="00200BDA">
        <w:rPr>
          <w:rFonts w:eastAsia="Arial" w:cs="Arial"/>
          <w:i/>
          <w:iCs/>
          <w:color w:val="000000"/>
          <w:szCs w:val="18"/>
          <w:highlight w:val="white"/>
        </w:rPr>
        <w:t>coli</w:t>
      </w:r>
      <w:r w:rsidRPr="00200BDA">
        <w:rPr>
          <w:rFonts w:eastAsia="Arial" w:cs="Arial"/>
          <w:color w:val="000000"/>
          <w:szCs w:val="18"/>
          <w:highlight w:val="white"/>
        </w:rPr>
        <w:t xml:space="preserve"> strain </w:t>
      </w:r>
      <w:r w:rsidR="00391270" w:rsidRPr="00200BDA">
        <w:rPr>
          <w:rFonts w:eastAsia="Arial" w:cs="Arial"/>
          <w:color w:val="000000"/>
          <w:szCs w:val="18"/>
          <w:highlight w:val="white"/>
        </w:rPr>
        <w:t>DH5α</w:t>
      </w:r>
      <w:r w:rsidRPr="00200BDA">
        <w:rPr>
          <w:rFonts w:eastAsia="Arial" w:cs="Arial"/>
          <w:color w:val="000000"/>
          <w:szCs w:val="18"/>
          <w:highlight w:val="white"/>
        </w:rPr>
        <w:t xml:space="preserve"> was transformed with a plasmid </w:t>
      </w:r>
      <w:r w:rsidR="00507C71" w:rsidRPr="00200BDA">
        <w:rPr>
          <w:rFonts w:eastAsia="Arial" w:cs="Arial"/>
          <w:color w:val="000000"/>
          <w:szCs w:val="18"/>
          <w:highlight w:val="white"/>
        </w:rPr>
        <w:t>which</w:t>
      </w:r>
      <w:r w:rsidRPr="00200BDA">
        <w:rPr>
          <w:rFonts w:eastAsia="Arial" w:cs="Arial"/>
          <w:color w:val="000000"/>
          <w:szCs w:val="18"/>
          <w:highlight w:val="white"/>
        </w:rPr>
        <w:t xml:space="preserve"> contains a Taq polymerase gene. </w:t>
      </w:r>
      <w:r w:rsidR="00454EDE" w:rsidRPr="00200BDA">
        <w:rPr>
          <w:rFonts w:eastAsia="Arial" w:cs="Arial"/>
          <w:color w:val="000000"/>
          <w:szCs w:val="18"/>
          <w:highlight w:val="white"/>
        </w:rPr>
        <w:t xml:space="preserve">Transformation and activation </w:t>
      </w:r>
      <w:r w:rsidR="00F77BC1" w:rsidRPr="00200BDA">
        <w:rPr>
          <w:rFonts w:eastAsia="Arial" w:cs="Arial"/>
          <w:color w:val="000000"/>
          <w:szCs w:val="18"/>
          <w:highlight w:val="white"/>
        </w:rPr>
        <w:t>were</w:t>
      </w:r>
      <w:r w:rsidR="00454EDE" w:rsidRPr="00200BDA">
        <w:rPr>
          <w:rFonts w:eastAsia="Arial" w:cs="Arial"/>
          <w:color w:val="000000"/>
          <w:szCs w:val="18"/>
          <w:highlight w:val="white"/>
        </w:rPr>
        <w:t xml:space="preserve"> performed in broth LB </w:t>
      </w:r>
      <w:r w:rsidR="00ED7FA5" w:rsidRPr="00200BDA">
        <w:rPr>
          <w:rFonts w:eastAsia="Arial" w:cs="Arial"/>
          <w:color w:val="000000"/>
          <w:szCs w:val="18"/>
          <w:highlight w:val="white"/>
        </w:rPr>
        <w:t>(10 g/L tripton</w:t>
      </w:r>
      <w:r w:rsidR="005F3B72">
        <w:rPr>
          <w:rFonts w:eastAsia="Arial" w:cs="Arial"/>
          <w:color w:val="000000"/>
          <w:szCs w:val="18"/>
          <w:highlight w:val="white"/>
        </w:rPr>
        <w:t>e</w:t>
      </w:r>
      <w:r w:rsidR="00ED7FA5" w:rsidRPr="00200BDA">
        <w:rPr>
          <w:rFonts w:eastAsia="Arial" w:cs="Arial"/>
          <w:color w:val="000000"/>
          <w:szCs w:val="18"/>
          <w:highlight w:val="white"/>
        </w:rPr>
        <w:t>, 5 g/L yeast extract, 10 g/L sodium chloride) (</w:t>
      </w:r>
      <w:r w:rsidR="00ED7FA5" w:rsidRPr="00200BDA">
        <w:rPr>
          <w:rFonts w:eastAsia="Arial" w:cs="Arial"/>
          <w:szCs w:val="18"/>
          <w:highlight w:val="white"/>
        </w:rPr>
        <w:t>Merck, 2020</w:t>
      </w:r>
      <w:r w:rsidR="00ED7FA5" w:rsidRPr="00200BDA">
        <w:rPr>
          <w:rFonts w:eastAsia="Arial" w:cs="Arial"/>
          <w:color w:val="000000"/>
          <w:szCs w:val="18"/>
          <w:highlight w:val="white"/>
        </w:rPr>
        <w:t>)</w:t>
      </w:r>
      <w:r w:rsidR="007922C4" w:rsidRPr="00200BDA">
        <w:rPr>
          <w:rFonts w:eastAsia="Arial" w:cs="Arial"/>
          <w:color w:val="000000"/>
          <w:szCs w:val="18"/>
          <w:highlight w:val="white"/>
        </w:rPr>
        <w:t xml:space="preserve"> supplemented with ampicillin 100</w:t>
      </w:r>
      <w:r w:rsidR="00A74C98">
        <w:rPr>
          <w:rFonts w:eastAsia="Arial" w:cs="Arial"/>
          <w:color w:val="000000"/>
          <w:szCs w:val="18"/>
          <w:highlight w:val="white"/>
        </w:rPr>
        <w:t xml:space="preserve"> </w:t>
      </w:r>
      <w:r w:rsidR="00A74C98" w:rsidRPr="00A74C98">
        <w:rPr>
          <w:rFonts w:ascii="Symbol" w:eastAsia="Arial" w:hAnsi="Symbol" w:cs="Arial"/>
          <w:color w:val="000000"/>
          <w:szCs w:val="18"/>
          <w:highlight w:val="white"/>
        </w:rPr>
        <w:t>m</w:t>
      </w:r>
      <w:r w:rsidR="007922C4" w:rsidRPr="00200BDA">
        <w:rPr>
          <w:rFonts w:eastAsia="Arial" w:cs="Arial"/>
          <w:color w:val="000000"/>
          <w:szCs w:val="18"/>
          <w:highlight w:val="white"/>
        </w:rPr>
        <w:t>g/ml. The culture was incubated at 37</w:t>
      </w:r>
      <w:r w:rsidR="00A74C98">
        <w:rPr>
          <w:rFonts w:eastAsia="Arial" w:cs="Arial"/>
          <w:color w:val="000000"/>
          <w:szCs w:val="18"/>
          <w:highlight w:val="white"/>
        </w:rPr>
        <w:t xml:space="preserve"> </w:t>
      </w:r>
      <w:r w:rsidR="007922C4" w:rsidRPr="00200BDA">
        <w:rPr>
          <w:rFonts w:eastAsia="Arial" w:cs="Arial"/>
          <w:color w:val="000000"/>
          <w:szCs w:val="18"/>
          <w:highlight w:val="white"/>
        </w:rPr>
        <w:t>°C for 12</w:t>
      </w:r>
      <w:r w:rsidR="00A74C98">
        <w:rPr>
          <w:rFonts w:eastAsia="Arial" w:cs="Arial"/>
          <w:color w:val="000000"/>
          <w:szCs w:val="18"/>
          <w:highlight w:val="white"/>
        </w:rPr>
        <w:t xml:space="preserve"> </w:t>
      </w:r>
      <w:r w:rsidR="007922C4" w:rsidRPr="00200BDA">
        <w:rPr>
          <w:rFonts w:eastAsia="Arial" w:cs="Arial"/>
          <w:color w:val="000000"/>
          <w:szCs w:val="18"/>
          <w:highlight w:val="white"/>
        </w:rPr>
        <w:t>hours.</w:t>
      </w:r>
      <w:r w:rsidR="00391270" w:rsidRPr="00200BDA">
        <w:rPr>
          <w:rFonts w:eastAsia="Arial" w:cs="Arial"/>
          <w:color w:val="000000"/>
          <w:szCs w:val="18"/>
          <w:highlight w:val="white"/>
        </w:rPr>
        <w:t xml:space="preserve"> </w:t>
      </w:r>
    </w:p>
    <w:p w14:paraId="2D8D6E75" w14:textId="3E6FAA5E" w:rsidR="00B5770D" w:rsidRPr="00200BDA" w:rsidRDefault="00A93579" w:rsidP="00B53D83">
      <w:pPr>
        <w:pStyle w:val="CETheadingx"/>
        <w:rPr>
          <w:rFonts w:eastAsia="Arial"/>
          <w:lang w:val="en-GB"/>
        </w:rPr>
      </w:pPr>
      <w:r w:rsidRPr="00200BDA">
        <w:rPr>
          <w:rFonts w:eastAsia="Arial"/>
          <w:highlight w:val="white"/>
          <w:lang w:val="en-GB"/>
        </w:rPr>
        <w:t xml:space="preserve">Preinoculum </w:t>
      </w:r>
    </w:p>
    <w:p w14:paraId="21834BF2" w14:textId="2C4DD101" w:rsidR="009B22BC" w:rsidRPr="00200BDA" w:rsidRDefault="00507C71" w:rsidP="009B22BC">
      <w:pPr>
        <w:spacing w:line="240" w:lineRule="atLeast"/>
        <w:rPr>
          <w:rFonts w:eastAsia="Arial" w:cs="Arial"/>
          <w:color w:val="000000"/>
          <w:szCs w:val="18"/>
        </w:rPr>
      </w:pPr>
      <w:r w:rsidRPr="00200BDA">
        <w:rPr>
          <w:rFonts w:eastAsia="Arial" w:cs="Arial"/>
          <w:color w:val="000000"/>
          <w:szCs w:val="18"/>
          <w:highlight w:val="white"/>
        </w:rPr>
        <w:t>I</w:t>
      </w:r>
      <w:r w:rsidR="00A93579" w:rsidRPr="00200BDA">
        <w:rPr>
          <w:rFonts w:eastAsia="Arial" w:cs="Arial"/>
          <w:color w:val="000000"/>
          <w:szCs w:val="18"/>
          <w:highlight w:val="white"/>
        </w:rPr>
        <w:t>noculum was</w:t>
      </w:r>
      <w:r w:rsidRPr="00200BDA">
        <w:rPr>
          <w:rFonts w:eastAsia="Arial" w:cs="Arial"/>
          <w:color w:val="000000"/>
          <w:szCs w:val="18"/>
          <w:highlight w:val="white"/>
        </w:rPr>
        <w:t xml:space="preserve"> inoculated in</w:t>
      </w:r>
      <w:r w:rsidR="0038626F" w:rsidRPr="00200BDA">
        <w:rPr>
          <w:rFonts w:eastAsia="Arial" w:cs="Arial"/>
          <w:color w:val="000000"/>
          <w:szCs w:val="18"/>
          <w:highlight w:val="white"/>
        </w:rPr>
        <w:t xml:space="preserve"> a shake flask with </w:t>
      </w:r>
      <w:r w:rsidR="00A93579" w:rsidRPr="00200BDA">
        <w:rPr>
          <w:rFonts w:eastAsia="Arial" w:cs="Arial"/>
          <w:color w:val="000000"/>
          <w:szCs w:val="18"/>
          <w:highlight w:val="white"/>
        </w:rPr>
        <w:t xml:space="preserve">200 mL of LB-ampicillim broth </w:t>
      </w:r>
      <w:r w:rsidR="0038626F" w:rsidRPr="00200BDA">
        <w:rPr>
          <w:rFonts w:eastAsia="Arial" w:cs="Arial"/>
          <w:color w:val="000000"/>
          <w:szCs w:val="18"/>
          <w:highlight w:val="white"/>
        </w:rPr>
        <w:t>for transformed strain</w:t>
      </w:r>
      <w:r w:rsidRPr="00200BDA">
        <w:rPr>
          <w:rFonts w:eastAsia="Arial" w:cs="Arial"/>
          <w:color w:val="000000"/>
          <w:szCs w:val="18"/>
          <w:highlight w:val="white"/>
        </w:rPr>
        <w:t>.</w:t>
      </w:r>
      <w:r w:rsidR="008E793B" w:rsidRPr="00200BDA">
        <w:rPr>
          <w:rFonts w:eastAsia="Arial" w:cs="Arial"/>
          <w:color w:val="000000"/>
          <w:szCs w:val="18"/>
          <w:highlight w:val="white"/>
        </w:rPr>
        <w:t xml:space="preserve"> </w:t>
      </w:r>
      <w:r w:rsidRPr="00200BDA">
        <w:rPr>
          <w:rFonts w:eastAsia="Arial" w:cs="Arial"/>
          <w:color w:val="000000"/>
          <w:szCs w:val="18"/>
          <w:highlight w:val="white"/>
        </w:rPr>
        <w:t>C</w:t>
      </w:r>
      <w:r w:rsidR="008E793B" w:rsidRPr="00200BDA">
        <w:rPr>
          <w:rFonts w:eastAsia="Arial" w:cs="Arial"/>
          <w:color w:val="000000"/>
          <w:szCs w:val="18"/>
          <w:highlight w:val="white"/>
        </w:rPr>
        <w:t>ulture was incubated at 37</w:t>
      </w:r>
      <w:r w:rsidR="00A74C98">
        <w:rPr>
          <w:rFonts w:eastAsia="Arial" w:cs="Arial"/>
          <w:color w:val="000000"/>
          <w:szCs w:val="18"/>
          <w:highlight w:val="white"/>
        </w:rPr>
        <w:t xml:space="preserve"> </w:t>
      </w:r>
      <w:r w:rsidR="008E793B" w:rsidRPr="00200BDA">
        <w:rPr>
          <w:rFonts w:eastAsia="Arial" w:cs="Arial"/>
          <w:color w:val="000000"/>
          <w:szCs w:val="18"/>
          <w:highlight w:val="white"/>
        </w:rPr>
        <w:t>°C at 200</w:t>
      </w:r>
      <w:r w:rsidRPr="00200BDA">
        <w:rPr>
          <w:rFonts w:eastAsia="Arial" w:cs="Arial"/>
          <w:color w:val="000000"/>
          <w:szCs w:val="18"/>
          <w:highlight w:val="white"/>
        </w:rPr>
        <w:t xml:space="preserve"> </w:t>
      </w:r>
      <w:r w:rsidR="008E793B" w:rsidRPr="00200BDA">
        <w:rPr>
          <w:rFonts w:eastAsia="Arial" w:cs="Arial"/>
          <w:color w:val="000000"/>
          <w:szCs w:val="18"/>
          <w:highlight w:val="white"/>
        </w:rPr>
        <w:t xml:space="preserve">rpm in </w:t>
      </w:r>
      <w:r w:rsidRPr="00200BDA">
        <w:rPr>
          <w:rFonts w:eastAsia="Arial" w:cs="Arial"/>
          <w:color w:val="000000"/>
          <w:szCs w:val="18"/>
          <w:highlight w:val="white"/>
        </w:rPr>
        <w:t xml:space="preserve">a </w:t>
      </w:r>
      <w:r w:rsidR="008E793B" w:rsidRPr="00200BDA">
        <w:rPr>
          <w:rFonts w:eastAsia="Arial" w:cs="Arial"/>
          <w:color w:val="000000"/>
          <w:szCs w:val="18"/>
          <w:highlight w:val="white"/>
        </w:rPr>
        <w:t>shaker incubator</w:t>
      </w:r>
      <w:r w:rsidR="009B22BC" w:rsidRPr="00200BDA">
        <w:rPr>
          <w:rFonts w:eastAsia="Arial" w:cs="Arial"/>
          <w:color w:val="000000"/>
          <w:szCs w:val="18"/>
          <w:highlight w:val="white"/>
        </w:rPr>
        <w:t>.</w:t>
      </w:r>
      <w:r w:rsidR="008E793B" w:rsidRPr="00200BDA">
        <w:rPr>
          <w:rFonts w:eastAsia="Arial" w:cs="Arial"/>
          <w:color w:val="000000"/>
          <w:szCs w:val="18"/>
          <w:highlight w:val="white"/>
        </w:rPr>
        <w:t xml:space="preserve"> </w:t>
      </w:r>
    </w:p>
    <w:p w14:paraId="76CD4BED" w14:textId="77777777" w:rsidR="009B22BC" w:rsidRPr="00200BDA" w:rsidRDefault="009B22BC" w:rsidP="009B22BC">
      <w:pPr>
        <w:spacing w:line="240" w:lineRule="atLeast"/>
        <w:rPr>
          <w:rFonts w:eastAsia="Arial" w:cs="Arial"/>
          <w:color w:val="000000"/>
          <w:szCs w:val="18"/>
        </w:rPr>
      </w:pPr>
    </w:p>
    <w:p w14:paraId="6E4817AC" w14:textId="3E1A3A4D" w:rsidR="00B5770D" w:rsidRPr="00200BDA" w:rsidRDefault="009B22BC" w:rsidP="009B22BC">
      <w:pPr>
        <w:spacing w:line="240" w:lineRule="atLeast"/>
        <w:rPr>
          <w:rFonts w:eastAsia="Arial" w:cs="Arial"/>
          <w:b/>
          <w:bCs/>
          <w:color w:val="000000"/>
          <w:szCs w:val="18"/>
        </w:rPr>
      </w:pPr>
      <w:r w:rsidRPr="00200BDA">
        <w:rPr>
          <w:rFonts w:eastAsia="Arial" w:cs="Arial"/>
          <w:b/>
          <w:bCs/>
          <w:color w:val="000000"/>
          <w:szCs w:val="18"/>
        </w:rPr>
        <w:t xml:space="preserve">2.3 </w:t>
      </w:r>
      <w:r w:rsidR="00B5770D" w:rsidRPr="00200BDA">
        <w:rPr>
          <w:rFonts w:eastAsia="Arial" w:cs="Arial"/>
          <w:b/>
          <w:bCs/>
          <w:color w:val="000000"/>
          <w:szCs w:val="18"/>
        </w:rPr>
        <w:t>Ba</w:t>
      </w:r>
      <w:r w:rsidR="002A762E" w:rsidRPr="00200BDA">
        <w:rPr>
          <w:rFonts w:eastAsia="Arial" w:cs="Arial"/>
          <w:b/>
          <w:bCs/>
          <w:color w:val="000000"/>
          <w:szCs w:val="18"/>
        </w:rPr>
        <w:t>t</w:t>
      </w:r>
      <w:r w:rsidR="00B5770D" w:rsidRPr="00200BDA">
        <w:rPr>
          <w:rFonts w:eastAsia="Arial" w:cs="Arial"/>
          <w:b/>
          <w:bCs/>
          <w:color w:val="000000"/>
          <w:szCs w:val="18"/>
        </w:rPr>
        <w:t>ch Fermentation Condition</w:t>
      </w:r>
      <w:r w:rsidRPr="00200BDA">
        <w:rPr>
          <w:rFonts w:eastAsia="Arial" w:cs="Arial"/>
          <w:b/>
          <w:color w:val="000000"/>
          <w:szCs w:val="18"/>
          <w:highlight w:val="white"/>
        </w:rPr>
        <w:t xml:space="preserve"> and </w:t>
      </w:r>
      <w:r w:rsidRPr="00200BDA">
        <w:rPr>
          <w:rFonts w:eastAsia="Arial"/>
          <w:b/>
          <w:highlight w:val="white"/>
        </w:rPr>
        <w:t>expression plasmid</w:t>
      </w:r>
    </w:p>
    <w:p w14:paraId="55052BA1" w14:textId="77777777" w:rsidR="00EF6BC8" w:rsidRDefault="00EF6BC8" w:rsidP="00B5770D">
      <w:pPr>
        <w:pStyle w:val="CETBodytext"/>
        <w:rPr>
          <w:rFonts w:eastAsia="Arial"/>
          <w:lang w:val="en-GB"/>
        </w:rPr>
      </w:pPr>
    </w:p>
    <w:p w14:paraId="12228012" w14:textId="1885F275" w:rsidR="00B5770D" w:rsidRPr="00200BDA" w:rsidRDefault="004837CD" w:rsidP="00B5770D">
      <w:pPr>
        <w:pStyle w:val="CETBodytext"/>
        <w:rPr>
          <w:rFonts w:eastAsia="Arial"/>
          <w:lang w:val="en-GB"/>
        </w:rPr>
      </w:pPr>
      <w:r w:rsidRPr="00200BDA">
        <w:rPr>
          <w:rFonts w:eastAsia="Arial"/>
          <w:lang w:val="en-GB"/>
        </w:rPr>
        <w:t>The</w:t>
      </w:r>
      <w:r w:rsidR="00507C71" w:rsidRPr="00200BDA">
        <w:rPr>
          <w:rFonts w:eastAsia="Arial"/>
          <w:lang w:val="en-GB"/>
        </w:rPr>
        <w:t xml:space="preserve"> </w:t>
      </w:r>
      <w:r w:rsidRPr="00200BDA">
        <w:rPr>
          <w:rFonts w:eastAsia="Arial"/>
          <w:lang w:val="en-GB"/>
        </w:rPr>
        <w:t>condition</w:t>
      </w:r>
      <w:r w:rsidR="00507C71" w:rsidRPr="00200BDA">
        <w:rPr>
          <w:rFonts w:eastAsia="Arial"/>
          <w:lang w:val="en-GB"/>
        </w:rPr>
        <w:t>s</w:t>
      </w:r>
      <w:r w:rsidRPr="00200BDA">
        <w:rPr>
          <w:rFonts w:eastAsia="Arial"/>
          <w:lang w:val="en-GB"/>
        </w:rPr>
        <w:t xml:space="preserve"> of bioreactor</w:t>
      </w:r>
      <w:r w:rsidR="00507C71" w:rsidRPr="00200BDA">
        <w:rPr>
          <w:rFonts w:eastAsia="Arial"/>
          <w:lang w:val="en-GB"/>
        </w:rPr>
        <w:t xml:space="preserve">, </w:t>
      </w:r>
      <w:r w:rsidR="00507C71" w:rsidRPr="00200BDA">
        <w:rPr>
          <w:rFonts w:eastAsia="Arial" w:cs="Arial"/>
          <w:color w:val="000000"/>
          <w:szCs w:val="18"/>
          <w:highlight w:val="white"/>
          <w:lang w:val="en-GB"/>
        </w:rPr>
        <w:t>BioFlo/Celligen 115</w:t>
      </w:r>
      <w:r w:rsidR="00507C71" w:rsidRPr="00200BDA">
        <w:rPr>
          <w:lang w:val="en-GB"/>
        </w:rPr>
        <w:t>®,</w:t>
      </w:r>
      <w:r w:rsidRPr="00200BDA">
        <w:rPr>
          <w:rFonts w:eastAsia="Arial"/>
          <w:lang w:val="en-GB"/>
        </w:rPr>
        <w:t xml:space="preserve"> </w:t>
      </w:r>
      <w:r w:rsidR="00BC27E3" w:rsidRPr="00200BDA">
        <w:rPr>
          <w:rFonts w:eastAsia="Arial"/>
          <w:lang w:val="en-GB"/>
        </w:rPr>
        <w:t xml:space="preserve">was as follows: </w:t>
      </w:r>
      <w:r w:rsidR="009612EC" w:rsidRPr="00200BDA">
        <w:rPr>
          <w:rFonts w:eastAsia="Arial"/>
          <w:lang w:val="en-GB"/>
        </w:rPr>
        <w:t>presterilized 400</w:t>
      </w:r>
      <w:r w:rsidR="00507C71" w:rsidRPr="00200BDA">
        <w:rPr>
          <w:rFonts w:eastAsia="Arial"/>
          <w:lang w:val="en-GB"/>
        </w:rPr>
        <w:t xml:space="preserve"> </w:t>
      </w:r>
      <w:r w:rsidR="009612EC" w:rsidRPr="00200BDA">
        <w:rPr>
          <w:rFonts w:eastAsia="Arial"/>
          <w:lang w:val="en-GB"/>
        </w:rPr>
        <w:t>mL LB-ampicillim broth</w:t>
      </w:r>
      <w:r w:rsidRPr="00200BDA">
        <w:rPr>
          <w:rFonts w:eastAsia="Arial"/>
          <w:lang w:val="en-GB"/>
        </w:rPr>
        <w:t xml:space="preserve"> (working volume)</w:t>
      </w:r>
      <w:r w:rsidR="009612EC" w:rsidRPr="00200BDA">
        <w:rPr>
          <w:rFonts w:eastAsia="Arial"/>
          <w:lang w:val="en-GB"/>
        </w:rPr>
        <w:t xml:space="preserve">, </w:t>
      </w:r>
      <w:r w:rsidRPr="00200BDA">
        <w:rPr>
          <w:rFonts w:eastAsia="Arial"/>
          <w:lang w:val="en-GB"/>
        </w:rPr>
        <w:t>1% of preinoculum</w:t>
      </w:r>
      <w:r w:rsidR="00BC27E3" w:rsidRPr="00200BDA">
        <w:rPr>
          <w:rFonts w:eastAsia="Arial"/>
          <w:lang w:val="en-GB"/>
        </w:rPr>
        <w:t>, temperature 37</w:t>
      </w:r>
      <w:r w:rsidR="0017479C" w:rsidRPr="00200BDA">
        <w:rPr>
          <w:rFonts w:eastAsia="Arial"/>
          <w:lang w:val="en-GB"/>
        </w:rPr>
        <w:t xml:space="preserve"> </w:t>
      </w:r>
      <w:r w:rsidR="00BC27E3" w:rsidRPr="00200BDA">
        <w:rPr>
          <w:rFonts w:eastAsia="Arial"/>
          <w:lang w:val="en-GB"/>
        </w:rPr>
        <w:t xml:space="preserve">°C, airflow rate 1 vvm (volume of </w:t>
      </w:r>
      <w:r w:rsidR="000C1392">
        <w:rPr>
          <w:rFonts w:eastAsia="Arial"/>
          <w:lang w:val="en-GB"/>
        </w:rPr>
        <w:t xml:space="preserve">air per unit of growth medium </w:t>
      </w:r>
      <w:r w:rsidR="00BC27E3" w:rsidRPr="00200BDA">
        <w:rPr>
          <w:rFonts w:eastAsia="Arial"/>
          <w:lang w:val="en-GB"/>
        </w:rPr>
        <w:t xml:space="preserve">per </w:t>
      </w:r>
      <w:r w:rsidR="000D4731" w:rsidRPr="00200BDA">
        <w:rPr>
          <w:rFonts w:eastAsia="Arial"/>
          <w:lang w:val="en-GB"/>
        </w:rPr>
        <w:t>minute)</w:t>
      </w:r>
      <w:r w:rsidR="00507C71" w:rsidRPr="00200BDA">
        <w:rPr>
          <w:rFonts w:eastAsia="Arial"/>
          <w:lang w:val="en-GB"/>
        </w:rPr>
        <w:t>. T</w:t>
      </w:r>
      <w:r w:rsidR="00BC27E3" w:rsidRPr="00200BDA">
        <w:rPr>
          <w:rFonts w:eastAsia="Arial"/>
          <w:lang w:val="en-GB"/>
        </w:rPr>
        <w:t xml:space="preserve">wo agitation </w:t>
      </w:r>
      <w:r w:rsidR="00507C71" w:rsidRPr="00200BDA">
        <w:rPr>
          <w:rFonts w:eastAsia="Arial"/>
          <w:lang w:val="en-GB"/>
        </w:rPr>
        <w:t>rates</w:t>
      </w:r>
      <w:r w:rsidR="00BC27E3" w:rsidRPr="00200BDA">
        <w:rPr>
          <w:rFonts w:eastAsia="Arial"/>
          <w:lang w:val="en-GB"/>
        </w:rPr>
        <w:t xml:space="preserve"> (200 -350 rpm) were evaluated</w:t>
      </w:r>
      <w:r w:rsidR="002A762E" w:rsidRPr="00200BDA">
        <w:rPr>
          <w:rFonts w:eastAsia="Arial"/>
          <w:lang w:val="en-GB"/>
        </w:rPr>
        <w:t xml:space="preserve">. </w:t>
      </w:r>
      <w:r w:rsidRPr="00200BDA">
        <w:rPr>
          <w:rFonts w:eastAsia="Arial"/>
          <w:lang w:val="en-GB"/>
        </w:rPr>
        <w:t xml:space="preserve">The batch fermentation process </w:t>
      </w:r>
      <w:r w:rsidR="00507C71" w:rsidRPr="00200BDA">
        <w:rPr>
          <w:rFonts w:eastAsia="Arial"/>
          <w:lang w:val="en-GB"/>
        </w:rPr>
        <w:t>continued</w:t>
      </w:r>
      <w:r w:rsidR="009B22BC" w:rsidRPr="00200BDA">
        <w:rPr>
          <w:rFonts w:eastAsia="Arial"/>
          <w:lang w:val="en-GB"/>
        </w:rPr>
        <w:t xml:space="preserve"> </w:t>
      </w:r>
      <w:r w:rsidR="009B22BC" w:rsidRPr="00200BDA">
        <w:rPr>
          <w:rFonts w:eastAsia="Arial" w:cs="Arial"/>
          <w:color w:val="000000"/>
          <w:szCs w:val="18"/>
          <w:highlight w:val="white"/>
          <w:lang w:val="en-GB"/>
        </w:rPr>
        <w:t>until obtain an optical density (OD</w:t>
      </w:r>
      <w:r w:rsidR="009B22BC" w:rsidRPr="00200BDA">
        <w:rPr>
          <w:rFonts w:eastAsia="Arial" w:cs="Arial"/>
          <w:color w:val="000000"/>
          <w:szCs w:val="18"/>
          <w:highlight w:val="white"/>
          <w:vertAlign w:val="subscript"/>
          <w:lang w:val="en-GB"/>
        </w:rPr>
        <w:t>595 nm</w:t>
      </w:r>
      <w:r w:rsidR="009B22BC" w:rsidRPr="00200BDA">
        <w:rPr>
          <w:rFonts w:eastAsia="Arial" w:cs="Arial"/>
          <w:color w:val="000000"/>
          <w:szCs w:val="18"/>
          <w:highlight w:val="white"/>
          <w:lang w:val="en-GB"/>
        </w:rPr>
        <w:t>) between 0</w:t>
      </w:r>
      <w:r w:rsidR="00B15392">
        <w:rPr>
          <w:rFonts w:eastAsia="Arial" w:cs="Arial"/>
          <w:color w:val="FF0000"/>
          <w:szCs w:val="18"/>
          <w:highlight w:val="white"/>
          <w:lang w:val="en-GB"/>
        </w:rPr>
        <w:t>.</w:t>
      </w:r>
      <w:r w:rsidR="009B22BC" w:rsidRPr="00200BDA">
        <w:rPr>
          <w:rFonts w:eastAsia="Arial" w:cs="Arial"/>
          <w:color w:val="000000"/>
          <w:szCs w:val="18"/>
          <w:highlight w:val="white"/>
          <w:lang w:val="en-GB"/>
        </w:rPr>
        <w:t>28</w:t>
      </w:r>
      <w:r w:rsidR="0017479C" w:rsidRPr="00200BDA">
        <w:rPr>
          <w:rFonts w:eastAsia="Arial" w:cs="Arial"/>
          <w:color w:val="000000"/>
          <w:szCs w:val="18"/>
          <w:highlight w:val="white"/>
          <w:lang w:val="en-GB"/>
        </w:rPr>
        <w:t xml:space="preserve"> </w:t>
      </w:r>
      <w:r w:rsidR="00B15392">
        <w:rPr>
          <w:rFonts w:eastAsia="Arial" w:cs="Arial"/>
          <w:color w:val="000000"/>
          <w:szCs w:val="18"/>
          <w:highlight w:val="white"/>
          <w:lang w:val="en-GB"/>
        </w:rPr>
        <w:t>–</w:t>
      </w:r>
      <w:r w:rsidR="0017479C" w:rsidRPr="00200BDA">
        <w:rPr>
          <w:rFonts w:eastAsia="Arial" w:cs="Arial"/>
          <w:color w:val="000000"/>
          <w:szCs w:val="18"/>
          <w:highlight w:val="white"/>
          <w:lang w:val="en-GB"/>
        </w:rPr>
        <w:t xml:space="preserve"> </w:t>
      </w:r>
      <w:r w:rsidR="009B22BC" w:rsidRPr="00200BDA">
        <w:rPr>
          <w:rFonts w:eastAsia="Arial" w:cs="Arial"/>
          <w:color w:val="000000"/>
          <w:szCs w:val="18"/>
          <w:highlight w:val="white"/>
          <w:lang w:val="en-GB"/>
        </w:rPr>
        <w:t>0</w:t>
      </w:r>
      <w:r w:rsidR="00B15392">
        <w:rPr>
          <w:rFonts w:eastAsia="Arial" w:cs="Arial"/>
          <w:color w:val="FF0000"/>
          <w:szCs w:val="18"/>
          <w:highlight w:val="white"/>
          <w:lang w:val="en-GB"/>
        </w:rPr>
        <w:t>.</w:t>
      </w:r>
      <w:r w:rsidR="009B22BC" w:rsidRPr="00200BDA">
        <w:rPr>
          <w:rFonts w:eastAsia="Arial" w:cs="Arial"/>
          <w:color w:val="000000"/>
          <w:szCs w:val="18"/>
          <w:highlight w:val="white"/>
          <w:lang w:val="en-GB"/>
        </w:rPr>
        <w:t>32. The induction was performed by 0</w:t>
      </w:r>
      <w:r w:rsidR="00B15392">
        <w:rPr>
          <w:rFonts w:eastAsia="Arial" w:cs="Arial"/>
          <w:color w:val="FF0000"/>
          <w:szCs w:val="18"/>
          <w:highlight w:val="white"/>
          <w:lang w:val="en-GB"/>
        </w:rPr>
        <w:t>.</w:t>
      </w:r>
      <w:r w:rsidR="009B22BC" w:rsidRPr="00200BDA">
        <w:rPr>
          <w:rFonts w:eastAsia="Arial" w:cs="Arial"/>
          <w:color w:val="000000"/>
          <w:szCs w:val="18"/>
          <w:highlight w:val="white"/>
          <w:lang w:val="en-GB"/>
        </w:rPr>
        <w:t>5</w:t>
      </w:r>
      <w:r w:rsidR="00507C71" w:rsidRPr="00200BDA">
        <w:rPr>
          <w:rFonts w:eastAsia="Arial" w:cs="Arial"/>
          <w:color w:val="000000"/>
          <w:szCs w:val="18"/>
          <w:highlight w:val="white"/>
          <w:lang w:val="en-GB"/>
        </w:rPr>
        <w:t xml:space="preserve"> </w:t>
      </w:r>
      <w:r w:rsidR="009B22BC" w:rsidRPr="00200BDA">
        <w:rPr>
          <w:rFonts w:eastAsia="Arial" w:cs="Arial"/>
          <w:color w:val="000000"/>
          <w:szCs w:val="18"/>
          <w:highlight w:val="white"/>
          <w:lang w:val="en-GB"/>
        </w:rPr>
        <w:t>mM isopropyl-β-D-1-thiogalactopyranoside (IPTG) and</w:t>
      </w:r>
      <w:r w:rsidR="009B22BC" w:rsidRPr="00200BDA">
        <w:rPr>
          <w:rFonts w:eastAsia="Arial"/>
          <w:lang w:val="en-GB"/>
        </w:rPr>
        <w:t xml:space="preserve"> continued for 16 hours</w:t>
      </w:r>
      <w:r w:rsidR="0052176F" w:rsidRPr="00200BDA">
        <w:rPr>
          <w:rFonts w:eastAsia="Arial"/>
          <w:lang w:val="en-GB"/>
        </w:rPr>
        <w:t xml:space="preserve"> (</w:t>
      </w:r>
      <w:r w:rsidR="00043409" w:rsidRPr="00200BDA">
        <w:rPr>
          <w:rFonts w:eastAsia="Arial"/>
          <w:lang w:val="en-GB"/>
        </w:rPr>
        <w:t>Singh et al.</w:t>
      </w:r>
      <w:r w:rsidR="0052176F" w:rsidRPr="00200BDA">
        <w:rPr>
          <w:rFonts w:eastAsia="Arial"/>
          <w:lang w:val="en-GB"/>
        </w:rPr>
        <w:t>, 2015)</w:t>
      </w:r>
      <w:r w:rsidR="009B22BC" w:rsidRPr="00200BDA">
        <w:rPr>
          <w:rFonts w:eastAsia="Arial"/>
          <w:lang w:val="en-GB"/>
        </w:rPr>
        <w:t>.</w:t>
      </w:r>
      <w:r w:rsidR="005F0D74" w:rsidRPr="00200BDA">
        <w:rPr>
          <w:rFonts w:eastAsia="Arial"/>
          <w:lang w:val="en-GB"/>
        </w:rPr>
        <w:t xml:space="preserve"> The experiments were performed by duplicate for two agitation speed</w:t>
      </w:r>
      <w:r w:rsidR="00507C71" w:rsidRPr="00200BDA">
        <w:rPr>
          <w:rFonts w:eastAsia="Arial"/>
          <w:lang w:val="en-GB"/>
        </w:rPr>
        <w:t>s</w:t>
      </w:r>
      <w:r w:rsidR="005F0D74" w:rsidRPr="00200BDA">
        <w:rPr>
          <w:rFonts w:eastAsia="Arial"/>
          <w:lang w:val="en-GB"/>
        </w:rPr>
        <w:t>.</w:t>
      </w:r>
      <w:r w:rsidR="000D4731" w:rsidRPr="00200BDA">
        <w:rPr>
          <w:rFonts w:eastAsia="Arial"/>
          <w:lang w:val="en-GB"/>
        </w:rPr>
        <w:t xml:space="preserve"> </w:t>
      </w:r>
    </w:p>
    <w:p w14:paraId="58C3A9D9" w14:textId="30B8CA51" w:rsidR="00232386" w:rsidRPr="00200BDA" w:rsidRDefault="00232386" w:rsidP="00B53D83">
      <w:pPr>
        <w:pStyle w:val="CETheadingx"/>
        <w:numPr>
          <w:ilvl w:val="2"/>
          <w:numId w:val="23"/>
        </w:numPr>
        <w:rPr>
          <w:rFonts w:eastAsia="Arial"/>
          <w:lang w:val="en-GB"/>
        </w:rPr>
      </w:pPr>
      <w:r w:rsidRPr="00200BDA">
        <w:rPr>
          <w:rFonts w:eastAsia="Arial"/>
          <w:lang w:val="en-GB"/>
        </w:rPr>
        <w:t>Biomass determination</w:t>
      </w:r>
    </w:p>
    <w:p w14:paraId="0156FB08" w14:textId="7CAF2CB2" w:rsidR="00232386" w:rsidRPr="00200BDA" w:rsidRDefault="00232386" w:rsidP="00232386">
      <w:pPr>
        <w:pStyle w:val="CETBodytext"/>
        <w:rPr>
          <w:rFonts w:eastAsia="Arial"/>
          <w:lang w:val="en-GB"/>
        </w:rPr>
      </w:pPr>
      <w:r w:rsidRPr="00200BDA">
        <w:rPr>
          <w:rFonts w:eastAsia="Arial"/>
          <w:lang w:val="en-GB"/>
        </w:rPr>
        <w:t>Biomass was determined by optical density at 595</w:t>
      </w:r>
      <w:r w:rsidR="0017479C" w:rsidRPr="00200BDA">
        <w:rPr>
          <w:rFonts w:eastAsia="Arial"/>
          <w:lang w:val="en-GB"/>
        </w:rPr>
        <w:t xml:space="preserve"> </w:t>
      </w:r>
      <w:r w:rsidRPr="00200BDA">
        <w:rPr>
          <w:rFonts w:eastAsia="Arial"/>
          <w:lang w:val="en-GB"/>
        </w:rPr>
        <w:t>nm (</w:t>
      </w:r>
      <w:r w:rsidRPr="00200BDA">
        <w:rPr>
          <w:rFonts w:eastAsia="Arial" w:cs="Arial"/>
          <w:color w:val="000000"/>
          <w:szCs w:val="18"/>
          <w:highlight w:val="white"/>
          <w:lang w:val="en-GB"/>
        </w:rPr>
        <w:t>OD</w:t>
      </w:r>
      <w:r w:rsidRPr="00200BDA">
        <w:rPr>
          <w:rFonts w:eastAsia="Arial" w:cs="Arial"/>
          <w:color w:val="000000"/>
          <w:szCs w:val="18"/>
          <w:highlight w:val="white"/>
          <w:vertAlign w:val="subscript"/>
          <w:lang w:val="en-GB"/>
        </w:rPr>
        <w:t>595 nm</w:t>
      </w:r>
      <w:r w:rsidRPr="00200BDA">
        <w:rPr>
          <w:rFonts w:eastAsia="Arial"/>
          <w:lang w:val="en-GB"/>
        </w:rPr>
        <w:t>)</w:t>
      </w:r>
      <w:r w:rsidR="00A4154F" w:rsidRPr="00200BDA">
        <w:rPr>
          <w:rFonts w:eastAsia="Arial"/>
          <w:lang w:val="en-GB"/>
        </w:rPr>
        <w:t xml:space="preserve">, from </w:t>
      </w:r>
      <w:r w:rsidR="00E85FF6" w:rsidRPr="00200BDA">
        <w:rPr>
          <w:rFonts w:eastAsia="Arial"/>
          <w:lang w:val="en-GB"/>
        </w:rPr>
        <w:t>aliquots</w:t>
      </w:r>
      <w:r w:rsidR="00A4154F" w:rsidRPr="00200BDA">
        <w:rPr>
          <w:rFonts w:eastAsia="Arial"/>
          <w:lang w:val="en-GB"/>
        </w:rPr>
        <w:t xml:space="preserve"> of fermentation broth, was collected at every </w:t>
      </w:r>
      <w:r w:rsidR="0052176F" w:rsidRPr="00200BDA">
        <w:rPr>
          <w:rFonts w:eastAsia="Arial"/>
          <w:lang w:val="en-GB"/>
        </w:rPr>
        <w:t>60</w:t>
      </w:r>
      <w:r w:rsidR="009B22BC" w:rsidRPr="00200BDA">
        <w:rPr>
          <w:rFonts w:eastAsia="Arial"/>
          <w:lang w:val="en-GB"/>
        </w:rPr>
        <w:t xml:space="preserve"> minutes</w:t>
      </w:r>
      <w:r w:rsidR="0052176F" w:rsidRPr="00200BDA">
        <w:rPr>
          <w:rFonts w:eastAsia="Arial"/>
          <w:lang w:val="en-GB"/>
        </w:rPr>
        <w:t xml:space="preserve"> during the first </w:t>
      </w:r>
      <w:r w:rsidR="008B2B70" w:rsidRPr="00200BDA">
        <w:rPr>
          <w:rFonts w:eastAsia="Arial"/>
          <w:lang w:val="en-GB"/>
        </w:rPr>
        <w:t>9</w:t>
      </w:r>
      <w:r w:rsidR="0052176F" w:rsidRPr="00200BDA">
        <w:rPr>
          <w:rFonts w:eastAsia="Arial"/>
          <w:lang w:val="en-GB"/>
        </w:rPr>
        <w:t xml:space="preserve"> hours of fermentation process</w:t>
      </w:r>
      <w:r w:rsidR="008B2B70" w:rsidRPr="00200BDA">
        <w:rPr>
          <w:rFonts w:eastAsia="Arial"/>
          <w:lang w:val="en-GB"/>
        </w:rPr>
        <w:t xml:space="preserve"> (before and after induction stage)</w:t>
      </w:r>
      <w:r w:rsidR="0052176F" w:rsidRPr="00200BDA">
        <w:rPr>
          <w:rFonts w:eastAsia="Arial"/>
          <w:lang w:val="en-GB"/>
        </w:rPr>
        <w:t xml:space="preserve">. </w:t>
      </w:r>
    </w:p>
    <w:p w14:paraId="0E326FA8" w14:textId="0376AC38" w:rsidR="005F0D74" w:rsidRPr="00200BDA" w:rsidRDefault="005F0D74" w:rsidP="00B53D83">
      <w:pPr>
        <w:pStyle w:val="CETheadingx"/>
        <w:numPr>
          <w:ilvl w:val="2"/>
          <w:numId w:val="23"/>
        </w:numPr>
        <w:rPr>
          <w:rFonts w:eastAsia="Arial"/>
          <w:lang w:val="en-GB"/>
        </w:rPr>
      </w:pPr>
      <w:r w:rsidRPr="00200BDA">
        <w:rPr>
          <w:rFonts w:eastAsia="Arial"/>
          <w:lang w:val="en-GB"/>
        </w:rPr>
        <w:t>Extraction and purification of Taq Polymerase</w:t>
      </w:r>
    </w:p>
    <w:p w14:paraId="7AB99F35" w14:textId="176271D6" w:rsidR="005F0D74" w:rsidRPr="00200BDA" w:rsidRDefault="006A055B" w:rsidP="005F0D74">
      <w:pPr>
        <w:pStyle w:val="CETBodytext"/>
        <w:rPr>
          <w:rFonts w:eastAsia="Arial" w:cs="Arial"/>
          <w:color w:val="000000"/>
          <w:szCs w:val="18"/>
          <w:lang w:val="en-GB"/>
        </w:rPr>
      </w:pPr>
      <w:r w:rsidRPr="00200BDA">
        <w:rPr>
          <w:rFonts w:eastAsia="Arial"/>
          <w:lang w:val="en-GB"/>
        </w:rPr>
        <w:t xml:space="preserve">The fermented broth was recovered in centrifuge </w:t>
      </w:r>
      <w:r w:rsidR="00F77BC1" w:rsidRPr="00200BDA">
        <w:rPr>
          <w:rFonts w:eastAsia="Arial"/>
          <w:lang w:val="en-GB"/>
        </w:rPr>
        <w:t>tubes,</w:t>
      </w:r>
      <w:r w:rsidRPr="00200BDA">
        <w:rPr>
          <w:rFonts w:eastAsia="Arial"/>
          <w:lang w:val="en-GB"/>
        </w:rPr>
        <w:t xml:space="preserve"> they were spun at 4800 rpm during 20 minutes at 4°C. The fermented </w:t>
      </w:r>
      <w:r w:rsidR="006073DD" w:rsidRPr="00200BDA">
        <w:rPr>
          <w:rFonts w:eastAsia="Arial"/>
          <w:lang w:val="en-GB"/>
        </w:rPr>
        <w:t>cell washed pellet was suspended with 30 m</w:t>
      </w:r>
      <w:r w:rsidR="0017479C" w:rsidRPr="00200BDA">
        <w:rPr>
          <w:rFonts w:eastAsia="Arial"/>
          <w:lang w:val="en-GB"/>
        </w:rPr>
        <w:t>L</w:t>
      </w:r>
      <w:r w:rsidR="006073DD" w:rsidRPr="00200BDA">
        <w:rPr>
          <w:rFonts w:eastAsia="Arial"/>
          <w:lang w:val="en-GB"/>
        </w:rPr>
        <w:t xml:space="preserve"> </w:t>
      </w:r>
      <w:r w:rsidR="00F125F9" w:rsidRPr="00200BDA">
        <w:rPr>
          <w:rFonts w:eastAsia="Arial"/>
          <w:lang w:val="en-GB"/>
        </w:rPr>
        <w:t xml:space="preserve">pre-cell lysis </w:t>
      </w:r>
      <w:r w:rsidR="006073DD" w:rsidRPr="00200BDA">
        <w:rPr>
          <w:rFonts w:eastAsia="Arial"/>
          <w:lang w:val="en-GB"/>
        </w:rPr>
        <w:t xml:space="preserve">buffer </w:t>
      </w:r>
      <w:r w:rsidR="006073DD" w:rsidRPr="00200BDA">
        <w:rPr>
          <w:rFonts w:eastAsia="Arial" w:cs="Arial"/>
          <w:color w:val="000000"/>
          <w:szCs w:val="18"/>
          <w:highlight w:val="white"/>
          <w:lang w:val="en-GB"/>
        </w:rPr>
        <w:t xml:space="preserve">(50 mM Tris-HCl, 50 mM dextrose, 1 mM EDTA and 100 </w:t>
      </w:r>
      <w:r w:rsidR="0017479C" w:rsidRPr="00200BDA">
        <w:rPr>
          <w:rFonts w:ascii="Symbol" w:eastAsia="Arial" w:hAnsi="Symbol" w:cs="Arial"/>
          <w:color w:val="000000"/>
          <w:szCs w:val="18"/>
          <w:highlight w:val="white"/>
          <w:lang w:val="en-GB"/>
        </w:rPr>
        <w:t></w:t>
      </w:r>
      <w:r w:rsidR="0017479C" w:rsidRPr="00200BDA">
        <w:rPr>
          <w:rFonts w:eastAsia="Arial" w:cs="Arial"/>
          <w:color w:val="000000"/>
          <w:szCs w:val="18"/>
          <w:highlight w:val="white"/>
          <w:lang w:val="en-GB"/>
        </w:rPr>
        <w:t>g</w:t>
      </w:r>
      <w:r w:rsidR="006073DD" w:rsidRPr="00200BDA">
        <w:rPr>
          <w:rFonts w:eastAsia="Arial" w:cs="Arial"/>
          <w:color w:val="000000"/>
          <w:szCs w:val="18"/>
          <w:highlight w:val="white"/>
          <w:lang w:val="en-GB"/>
        </w:rPr>
        <w:t>/mL of lysozyme)</w:t>
      </w:r>
      <w:r w:rsidR="00A16832" w:rsidRPr="00200BDA">
        <w:rPr>
          <w:rFonts w:eastAsia="Arial" w:cs="Arial"/>
          <w:color w:val="000000"/>
          <w:szCs w:val="18"/>
          <w:highlight w:val="white"/>
          <w:lang w:val="en-GB"/>
        </w:rPr>
        <w:t xml:space="preserve"> and agitated by vortex</w:t>
      </w:r>
      <w:r w:rsidR="00F125F9" w:rsidRPr="00200BDA">
        <w:rPr>
          <w:rFonts w:eastAsia="Arial" w:cs="Arial"/>
          <w:color w:val="000000"/>
          <w:szCs w:val="18"/>
          <w:highlight w:val="white"/>
          <w:lang w:val="en-GB"/>
        </w:rPr>
        <w:t xml:space="preserve"> </w:t>
      </w:r>
      <w:r w:rsidR="006073DD" w:rsidRPr="00200BDA">
        <w:rPr>
          <w:rFonts w:eastAsia="Arial" w:cs="Arial"/>
          <w:color w:val="000000"/>
          <w:szCs w:val="18"/>
          <w:highlight w:val="white"/>
          <w:lang w:val="en-GB"/>
        </w:rPr>
        <w:t>(</w:t>
      </w:r>
      <w:r w:rsidR="006073DD" w:rsidRPr="00200BDA">
        <w:rPr>
          <w:rFonts w:eastAsia="Arial" w:cs="Arial"/>
          <w:szCs w:val="18"/>
          <w:highlight w:val="white"/>
          <w:lang w:val="en-GB"/>
        </w:rPr>
        <w:t>Ferralli</w:t>
      </w:r>
      <w:r w:rsidR="00FD7D10">
        <w:rPr>
          <w:rFonts w:eastAsia="Arial" w:cs="Arial"/>
          <w:szCs w:val="18"/>
          <w:highlight w:val="white"/>
          <w:lang w:val="en-GB"/>
        </w:rPr>
        <w:t xml:space="preserve"> et al.</w:t>
      </w:r>
      <w:r w:rsidR="003E3487">
        <w:rPr>
          <w:rFonts w:eastAsia="Arial" w:cs="Arial"/>
          <w:szCs w:val="18"/>
          <w:highlight w:val="white"/>
          <w:lang w:val="en-GB"/>
        </w:rPr>
        <w:t>,</w:t>
      </w:r>
      <w:r w:rsidR="006073DD" w:rsidRPr="00200BDA">
        <w:rPr>
          <w:rFonts w:eastAsia="Arial" w:cs="Arial"/>
          <w:szCs w:val="18"/>
          <w:highlight w:val="white"/>
          <w:lang w:val="en-GB"/>
        </w:rPr>
        <w:t xml:space="preserve"> </w:t>
      </w:r>
      <w:r w:rsidR="006073DD" w:rsidRPr="00265D18">
        <w:rPr>
          <w:rFonts w:eastAsia="Arial" w:cs="Arial"/>
          <w:szCs w:val="18"/>
          <w:lang w:val="en-GB"/>
        </w:rPr>
        <w:t>200</w:t>
      </w:r>
      <w:r w:rsidR="005D35B8" w:rsidRPr="00265D18">
        <w:rPr>
          <w:rFonts w:eastAsia="Arial" w:cs="Arial"/>
          <w:szCs w:val="18"/>
          <w:lang w:val="en-GB"/>
        </w:rPr>
        <w:t>7</w:t>
      </w:r>
      <w:r w:rsidR="006073DD" w:rsidRPr="00200BDA">
        <w:rPr>
          <w:rFonts w:eastAsia="Arial" w:cs="Arial"/>
          <w:color w:val="000000"/>
          <w:szCs w:val="18"/>
          <w:highlight w:val="white"/>
          <w:lang w:val="en-GB"/>
        </w:rPr>
        <w:t>)</w:t>
      </w:r>
      <w:r w:rsidR="00A16832" w:rsidRPr="00200BDA">
        <w:rPr>
          <w:rFonts w:eastAsia="Arial" w:cs="Arial"/>
          <w:color w:val="000000"/>
          <w:szCs w:val="18"/>
          <w:lang w:val="en-GB"/>
        </w:rPr>
        <w:t>. The supernatant was incubated at 37</w:t>
      </w:r>
      <w:r w:rsidR="0017479C" w:rsidRPr="00200BDA">
        <w:rPr>
          <w:rFonts w:eastAsia="Arial" w:cs="Arial"/>
          <w:color w:val="000000"/>
          <w:szCs w:val="18"/>
          <w:lang w:val="en-GB"/>
        </w:rPr>
        <w:t xml:space="preserve"> </w:t>
      </w:r>
      <w:r w:rsidR="00A16832" w:rsidRPr="00200BDA">
        <w:rPr>
          <w:rFonts w:eastAsia="Arial" w:cs="Arial"/>
          <w:color w:val="000000"/>
          <w:szCs w:val="18"/>
          <w:lang w:val="en-GB"/>
        </w:rPr>
        <w:t>°C for 30 minutes</w:t>
      </w:r>
      <w:r w:rsidR="0069606F" w:rsidRPr="00200BDA">
        <w:rPr>
          <w:rFonts w:eastAsia="Arial" w:cs="Arial"/>
          <w:color w:val="000000"/>
          <w:szCs w:val="18"/>
          <w:lang w:val="en-GB"/>
        </w:rPr>
        <w:t xml:space="preserve"> and suspended in cell lysis buffer </w:t>
      </w:r>
      <w:r w:rsidR="0069606F" w:rsidRPr="00200BDA">
        <w:rPr>
          <w:rFonts w:eastAsia="Arial" w:cs="Arial"/>
          <w:color w:val="000000"/>
          <w:szCs w:val="18"/>
          <w:highlight w:val="white"/>
          <w:lang w:val="en-GB"/>
        </w:rPr>
        <w:t>(50 mM Tris-HCl, 50 mM KCl, 1 mM EDTA, 1</w:t>
      </w:r>
      <w:r w:rsidR="0017479C" w:rsidRPr="00200BDA">
        <w:rPr>
          <w:rFonts w:eastAsia="Arial" w:cs="Arial"/>
          <w:color w:val="000000"/>
          <w:szCs w:val="18"/>
          <w:highlight w:val="white"/>
          <w:lang w:val="en-GB"/>
        </w:rPr>
        <w:t xml:space="preserve"> </w:t>
      </w:r>
      <w:r w:rsidR="0069606F" w:rsidRPr="00200BDA">
        <w:rPr>
          <w:rFonts w:eastAsia="Arial" w:cs="Arial"/>
          <w:color w:val="000000"/>
          <w:szCs w:val="18"/>
          <w:highlight w:val="white"/>
          <w:lang w:val="en-GB"/>
        </w:rPr>
        <w:t xml:space="preserve">% Triton x-100 and PMSF) </w:t>
      </w:r>
      <w:r w:rsidR="0069606F" w:rsidRPr="00200BDA">
        <w:rPr>
          <w:rFonts w:eastAsia="Arial" w:cs="Arial"/>
          <w:color w:val="000000"/>
          <w:szCs w:val="18"/>
          <w:lang w:val="en-GB"/>
        </w:rPr>
        <w:t>(</w:t>
      </w:r>
      <w:r w:rsidR="0069606F" w:rsidRPr="00200BDA">
        <w:rPr>
          <w:rFonts w:eastAsia="Arial" w:cs="Arial"/>
          <w:szCs w:val="18"/>
          <w:highlight w:val="white"/>
          <w:lang w:val="en-GB"/>
        </w:rPr>
        <w:t>Farazmandfar et al, 2013</w:t>
      </w:r>
      <w:r w:rsidR="0069606F" w:rsidRPr="00200BDA">
        <w:rPr>
          <w:rFonts w:eastAsia="Arial" w:cs="Arial"/>
          <w:color w:val="000000"/>
          <w:szCs w:val="18"/>
          <w:lang w:val="en-GB"/>
        </w:rPr>
        <w:t>)</w:t>
      </w:r>
      <w:r w:rsidRPr="00200BDA">
        <w:rPr>
          <w:rFonts w:eastAsia="Arial"/>
          <w:szCs w:val="18"/>
          <w:lang w:val="en-GB"/>
        </w:rPr>
        <w:t xml:space="preserve"> </w:t>
      </w:r>
      <w:r w:rsidR="001568F8" w:rsidRPr="00200BDA">
        <w:rPr>
          <w:rFonts w:eastAsia="Arial" w:cs="Arial"/>
          <w:color w:val="000000"/>
          <w:szCs w:val="18"/>
          <w:highlight w:val="white"/>
          <w:lang w:val="en-GB"/>
        </w:rPr>
        <w:t xml:space="preserve">it was </w:t>
      </w:r>
      <w:r w:rsidR="0069606F" w:rsidRPr="00200BDA">
        <w:rPr>
          <w:rFonts w:eastAsia="Arial" w:cs="Arial"/>
          <w:color w:val="000000"/>
          <w:szCs w:val="18"/>
          <w:highlight w:val="white"/>
          <w:lang w:val="en-GB"/>
        </w:rPr>
        <w:t>agitated by vortex</w:t>
      </w:r>
      <w:r w:rsidR="001568F8" w:rsidRPr="00200BDA">
        <w:rPr>
          <w:rFonts w:eastAsia="Arial" w:cs="Arial"/>
          <w:color w:val="000000"/>
          <w:szCs w:val="18"/>
          <w:lang w:val="en-GB"/>
        </w:rPr>
        <w:t xml:space="preserve"> and</w:t>
      </w:r>
      <w:r w:rsidR="0069606F" w:rsidRPr="00200BDA">
        <w:rPr>
          <w:rFonts w:eastAsia="Arial" w:cs="Arial"/>
          <w:color w:val="000000"/>
          <w:szCs w:val="18"/>
          <w:lang w:val="en-GB"/>
        </w:rPr>
        <w:t xml:space="preserve"> incubated </w:t>
      </w:r>
      <w:r w:rsidR="001568F8" w:rsidRPr="00200BDA">
        <w:rPr>
          <w:rFonts w:eastAsia="Arial" w:cs="Arial"/>
          <w:color w:val="000000"/>
          <w:szCs w:val="18"/>
          <w:lang w:val="en-GB"/>
        </w:rPr>
        <w:t xml:space="preserve">in a water bath at 75°C </w:t>
      </w:r>
      <w:r w:rsidR="0017479C" w:rsidRPr="00200BDA">
        <w:rPr>
          <w:rFonts w:eastAsia="Arial" w:cs="Arial"/>
          <w:color w:val="000000"/>
          <w:szCs w:val="18"/>
          <w:lang w:val="en-GB"/>
        </w:rPr>
        <w:t>for</w:t>
      </w:r>
      <w:r w:rsidR="001568F8" w:rsidRPr="00200BDA">
        <w:rPr>
          <w:rFonts w:eastAsia="Arial" w:cs="Arial"/>
          <w:color w:val="000000"/>
          <w:szCs w:val="18"/>
          <w:lang w:val="en-GB"/>
        </w:rPr>
        <w:t xml:space="preserve"> </w:t>
      </w:r>
      <w:r w:rsidR="0017479C" w:rsidRPr="00200BDA">
        <w:rPr>
          <w:rFonts w:eastAsia="Arial" w:cs="Arial"/>
          <w:color w:val="000000"/>
          <w:szCs w:val="18"/>
          <w:lang w:val="en-GB"/>
        </w:rPr>
        <w:t>an</w:t>
      </w:r>
      <w:r w:rsidR="001568F8" w:rsidRPr="00200BDA">
        <w:rPr>
          <w:rFonts w:eastAsia="Arial" w:cs="Arial"/>
          <w:color w:val="000000"/>
          <w:szCs w:val="18"/>
          <w:lang w:val="en-GB"/>
        </w:rPr>
        <w:t xml:space="preserve"> hour. </w:t>
      </w:r>
      <w:r w:rsidR="0017479C" w:rsidRPr="00200BDA">
        <w:rPr>
          <w:rFonts w:eastAsia="Arial" w:cs="Arial"/>
          <w:color w:val="000000"/>
          <w:szCs w:val="18"/>
          <w:lang w:val="en-GB"/>
        </w:rPr>
        <w:t>P</w:t>
      </w:r>
      <w:r w:rsidR="001568F8" w:rsidRPr="00200BDA">
        <w:rPr>
          <w:rFonts w:eastAsia="Arial" w:cs="Arial"/>
          <w:color w:val="000000"/>
          <w:szCs w:val="18"/>
          <w:lang w:val="en-GB"/>
        </w:rPr>
        <w:t>rotein was obtain</w:t>
      </w:r>
      <w:r w:rsidR="0017479C" w:rsidRPr="00200BDA">
        <w:rPr>
          <w:rFonts w:eastAsia="Arial" w:cs="Arial"/>
          <w:color w:val="000000"/>
          <w:szCs w:val="18"/>
          <w:lang w:val="en-GB"/>
        </w:rPr>
        <w:t>ed</w:t>
      </w:r>
      <w:r w:rsidR="001568F8" w:rsidRPr="00200BDA">
        <w:rPr>
          <w:rFonts w:eastAsia="Arial" w:cs="Arial"/>
          <w:color w:val="000000"/>
          <w:szCs w:val="18"/>
          <w:lang w:val="en-GB"/>
        </w:rPr>
        <w:t xml:space="preserve"> by </w:t>
      </w:r>
      <w:r w:rsidR="00E85FF6" w:rsidRPr="00200BDA">
        <w:rPr>
          <w:rFonts w:eastAsia="Arial" w:cs="Arial"/>
          <w:color w:val="000000"/>
          <w:szCs w:val="18"/>
          <w:lang w:val="en-GB"/>
        </w:rPr>
        <w:t>centrifuging</w:t>
      </w:r>
      <w:r w:rsidR="001568F8" w:rsidRPr="00200BDA">
        <w:rPr>
          <w:rFonts w:eastAsia="Arial" w:cs="Arial"/>
          <w:color w:val="000000"/>
          <w:szCs w:val="18"/>
          <w:lang w:val="en-GB"/>
        </w:rPr>
        <w:t xml:space="preserve"> at 10000 rpm for 15 minutes at 4</w:t>
      </w:r>
      <w:r w:rsidR="0017479C" w:rsidRPr="00200BDA">
        <w:rPr>
          <w:rFonts w:eastAsia="Arial" w:cs="Arial"/>
          <w:color w:val="000000"/>
          <w:szCs w:val="18"/>
          <w:lang w:val="en-GB"/>
        </w:rPr>
        <w:t xml:space="preserve"> </w:t>
      </w:r>
      <w:r w:rsidR="001568F8" w:rsidRPr="00200BDA">
        <w:rPr>
          <w:rFonts w:eastAsia="Arial" w:cs="Arial"/>
          <w:color w:val="000000"/>
          <w:szCs w:val="18"/>
          <w:lang w:val="en-GB"/>
        </w:rPr>
        <w:t>°C.</w:t>
      </w:r>
    </w:p>
    <w:p w14:paraId="35E9C502" w14:textId="77777777" w:rsidR="009C08F3" w:rsidRPr="00200BDA" w:rsidRDefault="009C08F3" w:rsidP="005F0D74">
      <w:pPr>
        <w:pStyle w:val="CETBodytext"/>
        <w:rPr>
          <w:rFonts w:eastAsia="Arial" w:cs="Arial"/>
          <w:color w:val="000000"/>
          <w:szCs w:val="18"/>
          <w:lang w:val="en-GB"/>
        </w:rPr>
      </w:pPr>
    </w:p>
    <w:p w14:paraId="452BEF2C" w14:textId="143D896C" w:rsidR="001568F8" w:rsidRPr="00200BDA" w:rsidRDefault="001568F8" w:rsidP="009C08F3">
      <w:pPr>
        <w:spacing w:line="240" w:lineRule="atLeast"/>
        <w:ind w:hanging="2"/>
        <w:rPr>
          <w:rFonts w:eastAsia="Arial" w:cs="Arial"/>
          <w:szCs w:val="18"/>
        </w:rPr>
      </w:pPr>
      <w:r w:rsidRPr="00200BDA">
        <w:rPr>
          <w:rFonts w:eastAsia="Arial" w:cs="Arial"/>
          <w:b/>
          <w:bCs/>
          <w:color w:val="000000"/>
          <w:szCs w:val="18"/>
        </w:rPr>
        <w:t>2.6</w:t>
      </w:r>
      <w:r w:rsidRPr="00200BDA">
        <w:rPr>
          <w:rFonts w:eastAsia="Arial" w:cs="Arial"/>
          <w:color w:val="000000"/>
          <w:szCs w:val="18"/>
        </w:rPr>
        <w:t xml:space="preserve"> </w:t>
      </w:r>
      <w:r w:rsidR="0017479C" w:rsidRPr="00200BDA">
        <w:rPr>
          <w:rFonts w:eastAsia="Arial"/>
          <w:b/>
          <w:bCs/>
        </w:rPr>
        <w:t>Protein determination and quantification</w:t>
      </w:r>
      <w:r w:rsidRPr="00200BDA">
        <w:rPr>
          <w:rFonts w:eastAsia="Arial" w:cs="Arial"/>
          <w:b/>
          <w:color w:val="000000"/>
          <w:szCs w:val="18"/>
          <w:highlight w:val="white"/>
        </w:rPr>
        <w:t> </w:t>
      </w:r>
    </w:p>
    <w:p w14:paraId="01DF1417" w14:textId="4771D241" w:rsidR="001568F8" w:rsidRPr="00200BDA" w:rsidRDefault="0017479C" w:rsidP="00CE3E18">
      <w:pPr>
        <w:spacing w:line="240" w:lineRule="atLeast"/>
        <w:ind w:hanging="2"/>
        <w:rPr>
          <w:rFonts w:eastAsia="Arial" w:cs="Arial"/>
          <w:color w:val="000000"/>
          <w:szCs w:val="18"/>
        </w:rPr>
      </w:pPr>
      <w:r w:rsidRPr="00200BDA">
        <w:rPr>
          <w:rFonts w:eastAsia="Arial" w:cs="Arial"/>
          <w:color w:val="000000"/>
          <w:szCs w:val="18"/>
          <w:highlight w:val="white"/>
        </w:rPr>
        <w:t>Protein</w:t>
      </w:r>
      <w:r w:rsidR="00C941EF" w:rsidRPr="00200BDA">
        <w:rPr>
          <w:rFonts w:eastAsia="Arial" w:cs="Arial"/>
          <w:color w:val="000000"/>
          <w:szCs w:val="18"/>
          <w:highlight w:val="white"/>
        </w:rPr>
        <w:t xml:space="preserve"> concentration</w:t>
      </w:r>
      <w:r w:rsidRPr="00200BDA">
        <w:rPr>
          <w:rFonts w:eastAsia="Arial" w:cs="Arial"/>
          <w:color w:val="000000"/>
          <w:szCs w:val="18"/>
          <w:highlight w:val="white"/>
        </w:rPr>
        <w:t xml:space="preserve"> was determined according to</w:t>
      </w:r>
      <w:r w:rsidR="009C08F3" w:rsidRPr="00200BDA">
        <w:rPr>
          <w:rFonts w:eastAsia="Arial" w:cs="Arial"/>
          <w:color w:val="000000"/>
          <w:szCs w:val="18"/>
          <w:highlight w:val="white"/>
        </w:rPr>
        <w:t xml:space="preserve"> Bradford (</w:t>
      </w:r>
      <w:r w:rsidR="009C08F3" w:rsidRPr="00200BDA">
        <w:rPr>
          <w:rFonts w:eastAsia="Arial" w:cs="Arial"/>
          <w:szCs w:val="18"/>
          <w:highlight w:val="white"/>
        </w:rPr>
        <w:t>Bradford, 1976</w:t>
      </w:r>
      <w:r w:rsidR="009C08F3" w:rsidRPr="00200BDA">
        <w:rPr>
          <w:rFonts w:eastAsia="Arial" w:cs="Arial"/>
          <w:color w:val="000000"/>
          <w:szCs w:val="18"/>
          <w:highlight w:val="white"/>
        </w:rPr>
        <w:t xml:space="preserve">) </w:t>
      </w:r>
      <w:r w:rsidRPr="00200BDA">
        <w:rPr>
          <w:rFonts w:eastAsia="Arial" w:cs="Arial"/>
          <w:color w:val="000000"/>
          <w:szCs w:val="18"/>
          <w:highlight w:val="white"/>
        </w:rPr>
        <w:t>using</w:t>
      </w:r>
      <w:r w:rsidR="009C08F3" w:rsidRPr="00200BDA">
        <w:rPr>
          <w:rFonts w:eastAsia="Arial" w:cs="Arial"/>
          <w:color w:val="000000"/>
          <w:szCs w:val="18"/>
          <w:highlight w:val="white"/>
        </w:rPr>
        <w:t xml:space="preserve"> gammaglobulin</w:t>
      </w:r>
      <w:r w:rsidR="00C941EF" w:rsidRPr="00200BDA">
        <w:rPr>
          <w:rFonts w:eastAsia="Arial" w:cs="Arial"/>
          <w:color w:val="000000"/>
          <w:szCs w:val="18"/>
          <w:highlight w:val="white"/>
        </w:rPr>
        <w:t>e</w:t>
      </w:r>
      <w:r w:rsidR="009C08F3" w:rsidRPr="00200BDA">
        <w:rPr>
          <w:rFonts w:eastAsia="Arial" w:cs="Arial"/>
          <w:color w:val="000000"/>
          <w:szCs w:val="18"/>
          <w:highlight w:val="white"/>
        </w:rPr>
        <w:t xml:space="preserve"> </w:t>
      </w:r>
      <w:r w:rsidR="00C941EF" w:rsidRPr="00200BDA">
        <w:rPr>
          <w:rFonts w:eastAsia="Arial" w:cs="Arial"/>
          <w:color w:val="000000"/>
          <w:szCs w:val="18"/>
          <w:highlight w:val="white"/>
        </w:rPr>
        <w:t>at</w:t>
      </w:r>
      <w:r w:rsidR="009C08F3" w:rsidRPr="00200BDA">
        <w:rPr>
          <w:rFonts w:eastAsia="Arial" w:cs="Arial"/>
          <w:color w:val="000000"/>
          <w:szCs w:val="18"/>
          <w:highlight w:val="white"/>
        </w:rPr>
        <w:t xml:space="preserve"> 640 </w:t>
      </w:r>
      <w:r w:rsidRPr="00200BDA">
        <w:rPr>
          <w:rFonts w:ascii="Symbol" w:eastAsia="Arial" w:hAnsi="Symbol" w:cs="Arial"/>
          <w:color w:val="000000"/>
          <w:szCs w:val="18"/>
          <w:highlight w:val="white"/>
        </w:rPr>
        <w:t></w:t>
      </w:r>
      <w:r w:rsidRPr="00200BDA">
        <w:rPr>
          <w:rFonts w:eastAsia="Arial" w:cs="Arial"/>
          <w:color w:val="000000"/>
          <w:szCs w:val="18"/>
          <w:highlight w:val="white"/>
        </w:rPr>
        <w:t>g/mL</w:t>
      </w:r>
      <w:r w:rsidR="00C941EF" w:rsidRPr="00200BDA">
        <w:rPr>
          <w:rFonts w:eastAsia="Arial" w:cs="Arial"/>
          <w:color w:val="000000"/>
          <w:szCs w:val="18"/>
          <w:highlight w:val="white"/>
        </w:rPr>
        <w:t xml:space="preserve"> as patron curve.</w:t>
      </w:r>
      <w:r w:rsidR="009C08F3" w:rsidRPr="00200BDA">
        <w:rPr>
          <w:rFonts w:eastAsia="Arial" w:cs="Arial"/>
          <w:color w:val="000000"/>
          <w:szCs w:val="18"/>
          <w:highlight w:val="white"/>
        </w:rPr>
        <w:t xml:space="preserve"> Coomassie</w:t>
      </w:r>
      <w:r w:rsidR="00C941EF" w:rsidRPr="00200BDA">
        <w:rPr>
          <w:rFonts w:eastAsia="Arial" w:cs="Arial"/>
          <w:color w:val="000000"/>
          <w:szCs w:val="18"/>
          <w:highlight w:val="white"/>
        </w:rPr>
        <w:t xml:space="preserve"> blue</w:t>
      </w:r>
      <w:r w:rsidR="009C08F3" w:rsidRPr="00200BDA">
        <w:rPr>
          <w:rFonts w:eastAsia="Arial" w:cs="Arial"/>
          <w:color w:val="000000"/>
          <w:szCs w:val="18"/>
          <w:highlight w:val="white"/>
        </w:rPr>
        <w:t xml:space="preserve"> G-250</w:t>
      </w:r>
      <w:r w:rsidR="00C941EF" w:rsidRPr="00200BDA">
        <w:rPr>
          <w:rFonts w:eastAsia="Arial" w:cs="Arial"/>
          <w:color w:val="000000"/>
          <w:szCs w:val="18"/>
          <w:highlight w:val="white"/>
        </w:rPr>
        <w:t xml:space="preserve"> was used for protein visualization</w:t>
      </w:r>
      <w:r w:rsidR="009C08F3" w:rsidRPr="00200BDA">
        <w:rPr>
          <w:rFonts w:eastAsia="Arial" w:cs="Arial"/>
          <w:color w:val="000000"/>
          <w:szCs w:val="18"/>
          <w:highlight w:val="white"/>
        </w:rPr>
        <w:t>. </w:t>
      </w:r>
      <w:r w:rsidR="00C941EF" w:rsidRPr="00200BDA">
        <w:rPr>
          <w:rFonts w:eastAsia="Arial" w:cs="Arial"/>
          <w:color w:val="000000"/>
          <w:szCs w:val="18"/>
          <w:highlight w:val="white"/>
        </w:rPr>
        <w:t>Gel electrophoresis was used to analyze protein</w:t>
      </w:r>
      <w:r w:rsidR="009C08F3" w:rsidRPr="00200BDA">
        <w:rPr>
          <w:rFonts w:eastAsia="Arial" w:cs="Arial"/>
          <w:color w:val="000000"/>
          <w:szCs w:val="18"/>
          <w:highlight w:val="white"/>
        </w:rPr>
        <w:t xml:space="preserve"> (</w:t>
      </w:r>
      <w:r w:rsidR="009C08F3" w:rsidRPr="00265D18">
        <w:rPr>
          <w:rFonts w:eastAsia="Arial" w:cs="Arial"/>
          <w:szCs w:val="18"/>
        </w:rPr>
        <w:t>Biorad, 2020</w:t>
      </w:r>
      <w:r w:rsidR="009C08F3" w:rsidRPr="00265D18">
        <w:rPr>
          <w:rFonts w:eastAsia="Arial" w:cs="Arial"/>
          <w:color w:val="000000"/>
          <w:szCs w:val="18"/>
        </w:rPr>
        <w:t xml:space="preserve">) </w:t>
      </w:r>
      <w:r w:rsidR="00CE3E18" w:rsidRPr="00200BDA">
        <w:rPr>
          <w:rFonts w:eastAsia="Arial" w:cs="Arial"/>
          <w:color w:val="000000"/>
          <w:szCs w:val="18"/>
          <w:highlight w:val="white"/>
        </w:rPr>
        <w:t xml:space="preserve">and </w:t>
      </w:r>
      <w:r w:rsidR="009C08F3" w:rsidRPr="00200BDA">
        <w:rPr>
          <w:rFonts w:eastAsia="Arial" w:cs="Arial"/>
          <w:color w:val="000000"/>
          <w:szCs w:val="18"/>
          <w:highlight w:val="white"/>
        </w:rPr>
        <w:t>visualiza</w:t>
      </w:r>
      <w:r w:rsidR="00CE3E18" w:rsidRPr="00200BDA">
        <w:rPr>
          <w:rFonts w:eastAsia="Arial" w:cs="Arial"/>
          <w:color w:val="000000"/>
          <w:szCs w:val="18"/>
          <w:highlight w:val="white"/>
        </w:rPr>
        <w:t>tio</w:t>
      </w:r>
      <w:r w:rsidR="009C08F3" w:rsidRPr="00200BDA">
        <w:rPr>
          <w:rFonts w:eastAsia="Arial" w:cs="Arial"/>
          <w:color w:val="000000"/>
          <w:szCs w:val="18"/>
          <w:highlight w:val="white"/>
        </w:rPr>
        <w:t xml:space="preserve">n </w:t>
      </w:r>
      <w:r w:rsidR="00CE3E18" w:rsidRPr="00200BDA">
        <w:rPr>
          <w:rFonts w:eastAsia="Arial" w:cs="Arial"/>
          <w:color w:val="000000"/>
          <w:szCs w:val="18"/>
          <w:highlight w:val="white"/>
        </w:rPr>
        <w:t xml:space="preserve">was made by </w:t>
      </w:r>
      <w:r w:rsidR="009C08F3" w:rsidRPr="00200BDA">
        <w:rPr>
          <w:rFonts w:eastAsia="Arial" w:cs="Arial"/>
          <w:color w:val="000000"/>
          <w:szCs w:val="18"/>
          <w:highlight w:val="white"/>
        </w:rPr>
        <w:t xml:space="preserve">Coomassie </w:t>
      </w:r>
      <w:r w:rsidR="00CE3E18" w:rsidRPr="00200BDA">
        <w:rPr>
          <w:rFonts w:eastAsia="Arial" w:cs="Arial"/>
          <w:color w:val="000000"/>
          <w:szCs w:val="18"/>
          <w:highlight w:val="white"/>
        </w:rPr>
        <w:t>blue and</w:t>
      </w:r>
      <w:r w:rsidR="009C08F3" w:rsidRPr="00200BDA">
        <w:rPr>
          <w:rFonts w:eastAsia="Arial" w:cs="Arial"/>
          <w:szCs w:val="18"/>
          <w:highlight w:val="white"/>
        </w:rPr>
        <w:t xml:space="preserve"> </w:t>
      </w:r>
      <w:r w:rsidR="00CE3E18" w:rsidRPr="00200BDA">
        <w:rPr>
          <w:rFonts w:eastAsia="Arial" w:cs="Arial"/>
          <w:szCs w:val="18"/>
          <w:highlight w:val="white"/>
        </w:rPr>
        <w:t>a molecular weight tracer</w:t>
      </w:r>
      <w:r w:rsidR="009C08F3" w:rsidRPr="00200BDA">
        <w:rPr>
          <w:rFonts w:eastAsia="Arial" w:cs="Arial"/>
          <w:szCs w:val="18"/>
          <w:highlight w:val="white"/>
        </w:rPr>
        <w:t xml:space="preserve"> </w:t>
      </w:r>
      <w:r w:rsidR="00CE3E18" w:rsidRPr="00200BDA">
        <w:rPr>
          <w:rFonts w:eastAsia="Arial" w:cs="Arial"/>
          <w:szCs w:val="18"/>
          <w:highlight w:val="white"/>
        </w:rPr>
        <w:t>with a range of</w:t>
      </w:r>
      <w:r w:rsidR="009C08F3" w:rsidRPr="00200BDA">
        <w:rPr>
          <w:rFonts w:eastAsia="Arial" w:cs="Arial"/>
          <w:szCs w:val="18"/>
          <w:highlight w:val="white"/>
        </w:rPr>
        <w:t xml:space="preserve"> 11 kDa </w:t>
      </w:r>
      <w:r w:rsidR="00CE3E18" w:rsidRPr="00200BDA">
        <w:rPr>
          <w:rFonts w:eastAsia="Arial" w:cs="Arial"/>
          <w:szCs w:val="18"/>
          <w:highlight w:val="white"/>
        </w:rPr>
        <w:t>to</w:t>
      </w:r>
      <w:r w:rsidR="009C08F3" w:rsidRPr="00200BDA">
        <w:rPr>
          <w:rFonts w:eastAsia="Arial" w:cs="Arial"/>
          <w:szCs w:val="18"/>
          <w:highlight w:val="white"/>
        </w:rPr>
        <w:t xml:space="preserve"> 245 kDa</w:t>
      </w:r>
      <w:r w:rsidR="00CE3E18" w:rsidRPr="00200BDA">
        <w:rPr>
          <w:rFonts w:eastAsia="Arial" w:cs="Arial"/>
          <w:szCs w:val="18"/>
          <w:highlight w:val="white"/>
        </w:rPr>
        <w:t xml:space="preserve">. </w:t>
      </w:r>
      <w:r w:rsidR="00CE3E18" w:rsidRPr="00200BDA">
        <w:rPr>
          <w:rFonts w:eastAsia="Arial" w:cs="Arial"/>
          <w:color w:val="000000"/>
          <w:szCs w:val="18"/>
          <w:highlight w:val="white"/>
        </w:rPr>
        <w:t>Each agitation level was measured by duplicate.</w:t>
      </w:r>
    </w:p>
    <w:p w14:paraId="7D914F20" w14:textId="77777777" w:rsidR="00E85FF6" w:rsidRPr="00200BDA" w:rsidRDefault="00E85FF6" w:rsidP="009C08F3">
      <w:pPr>
        <w:pStyle w:val="CETBodytext"/>
        <w:spacing w:line="240" w:lineRule="atLeast"/>
        <w:rPr>
          <w:rFonts w:eastAsia="Arial"/>
          <w:lang w:val="en-GB"/>
        </w:rPr>
      </w:pPr>
    </w:p>
    <w:p w14:paraId="01EC3ED2" w14:textId="1A79B009" w:rsidR="00A87821" w:rsidRPr="00200BDA" w:rsidRDefault="00A87821" w:rsidP="00A87821">
      <w:pPr>
        <w:spacing w:line="240" w:lineRule="atLeast"/>
        <w:ind w:hanging="2"/>
        <w:rPr>
          <w:rFonts w:eastAsia="Arial" w:cs="Arial"/>
          <w:szCs w:val="18"/>
        </w:rPr>
      </w:pPr>
      <w:r w:rsidRPr="00200BDA">
        <w:rPr>
          <w:rFonts w:eastAsia="Arial" w:cs="Arial"/>
          <w:b/>
          <w:color w:val="000000"/>
          <w:szCs w:val="18"/>
          <w:highlight w:val="white"/>
        </w:rPr>
        <w:t xml:space="preserve">2.7 </w:t>
      </w:r>
      <w:r w:rsidR="00CE3E18" w:rsidRPr="00200BDA">
        <w:rPr>
          <w:rFonts w:eastAsia="Arial" w:cs="Arial"/>
          <w:b/>
          <w:color w:val="000000"/>
          <w:szCs w:val="18"/>
          <w:highlight w:val="white"/>
        </w:rPr>
        <w:t xml:space="preserve">Measurement of operation parameters </w:t>
      </w:r>
      <w:r w:rsidRPr="00200BDA">
        <w:rPr>
          <w:rFonts w:eastAsia="Arial" w:cs="Arial"/>
          <w:b/>
          <w:color w:val="000000"/>
          <w:szCs w:val="18"/>
          <w:highlight w:val="white"/>
        </w:rPr>
        <w:t>  </w:t>
      </w:r>
    </w:p>
    <w:p w14:paraId="59EEE1EB" w14:textId="51D2AC39" w:rsidR="00391270" w:rsidRPr="00200BDA" w:rsidRDefault="00CE3E18" w:rsidP="00A87821">
      <w:pPr>
        <w:spacing w:line="240" w:lineRule="atLeast"/>
        <w:rPr>
          <w:rFonts w:eastAsia="Arial" w:cs="Arial"/>
          <w:szCs w:val="18"/>
        </w:rPr>
      </w:pPr>
      <w:r w:rsidRPr="00200BDA">
        <w:rPr>
          <w:rFonts w:eastAsia="Arial" w:cs="Arial"/>
          <w:color w:val="000000"/>
          <w:szCs w:val="18"/>
          <w:highlight w:val="white"/>
        </w:rPr>
        <w:t>Dissolved oxygen and pH were monitored</w:t>
      </w:r>
      <w:r w:rsidR="00A87821" w:rsidRPr="00200BDA">
        <w:rPr>
          <w:rFonts w:eastAsia="Arial" w:cs="Arial"/>
          <w:color w:val="000000"/>
          <w:szCs w:val="18"/>
          <w:highlight w:val="white"/>
        </w:rPr>
        <w:t xml:space="preserve"> </w:t>
      </w:r>
      <w:r w:rsidRPr="00200BDA">
        <w:rPr>
          <w:rFonts w:eastAsia="Arial" w:cs="Arial"/>
          <w:color w:val="000000"/>
          <w:szCs w:val="18"/>
          <w:highlight w:val="white"/>
        </w:rPr>
        <w:t xml:space="preserve">by means of </w:t>
      </w:r>
      <w:r w:rsidR="004A0FA8" w:rsidRPr="00200BDA">
        <w:rPr>
          <w:rFonts w:eastAsia="Arial" w:cs="Arial"/>
          <w:color w:val="000000"/>
          <w:szCs w:val="18"/>
          <w:highlight w:val="white"/>
        </w:rPr>
        <w:t>software</w:t>
      </w:r>
      <w:r w:rsidR="00A87821" w:rsidRPr="00200BDA">
        <w:rPr>
          <w:rFonts w:eastAsia="Arial" w:cs="Arial"/>
          <w:color w:val="000000"/>
          <w:szCs w:val="18"/>
          <w:highlight w:val="white"/>
        </w:rPr>
        <w:t xml:space="preserve"> Biocommand</w:t>
      </w:r>
      <w:r w:rsidR="004A0FA8" w:rsidRPr="00200BDA">
        <w:rPr>
          <w:rFonts w:eastAsia="Arial" w:cs="Arial"/>
          <w:color w:val="000000"/>
          <w:szCs w:val="18"/>
          <w:highlight w:val="white"/>
        </w:rPr>
        <w:t xml:space="preserve"> ® and the respective electrodes for all the fermentation process</w:t>
      </w:r>
      <w:r w:rsidR="00A87821" w:rsidRPr="00200BDA">
        <w:rPr>
          <w:rFonts w:eastAsia="Arial" w:cs="Arial"/>
          <w:color w:val="000000"/>
          <w:szCs w:val="18"/>
          <w:highlight w:val="white"/>
        </w:rPr>
        <w:t xml:space="preserve"> (21 </w:t>
      </w:r>
      <w:r w:rsidR="004A0FA8" w:rsidRPr="00200BDA">
        <w:rPr>
          <w:rFonts w:eastAsia="Arial" w:cs="Arial"/>
          <w:color w:val="000000"/>
          <w:szCs w:val="18"/>
          <w:highlight w:val="white"/>
        </w:rPr>
        <w:t>hours</w:t>
      </w:r>
      <w:r w:rsidR="00A87821" w:rsidRPr="00200BDA">
        <w:rPr>
          <w:rFonts w:eastAsia="Arial" w:cs="Arial"/>
          <w:color w:val="000000"/>
          <w:szCs w:val="18"/>
          <w:highlight w:val="white"/>
        </w:rPr>
        <w:t xml:space="preserve">), </w:t>
      </w:r>
      <w:r w:rsidR="004A0FA8" w:rsidRPr="00200BDA">
        <w:rPr>
          <w:rFonts w:eastAsia="Arial" w:cs="Arial"/>
          <w:color w:val="000000"/>
          <w:szCs w:val="18"/>
          <w:highlight w:val="white"/>
        </w:rPr>
        <w:t>giving</w:t>
      </w:r>
      <w:r w:rsidR="00A87821" w:rsidRPr="00200BDA">
        <w:rPr>
          <w:rFonts w:eastAsia="Arial" w:cs="Arial"/>
          <w:color w:val="000000"/>
          <w:szCs w:val="18"/>
          <w:highlight w:val="white"/>
        </w:rPr>
        <w:t xml:space="preserve"> 21 </w:t>
      </w:r>
      <w:r w:rsidR="004A0FA8" w:rsidRPr="00200BDA">
        <w:rPr>
          <w:rFonts w:eastAsia="Arial" w:cs="Arial"/>
          <w:color w:val="000000"/>
          <w:szCs w:val="18"/>
          <w:highlight w:val="white"/>
        </w:rPr>
        <w:t>data</w:t>
      </w:r>
      <w:r w:rsidR="00A87821" w:rsidRPr="00200BDA">
        <w:rPr>
          <w:rFonts w:eastAsia="Arial" w:cs="Arial"/>
          <w:color w:val="000000"/>
          <w:szCs w:val="18"/>
          <w:highlight w:val="white"/>
        </w:rPr>
        <w:t xml:space="preserve"> </w:t>
      </w:r>
      <w:r w:rsidR="004A0FA8" w:rsidRPr="00200BDA">
        <w:rPr>
          <w:rFonts w:eastAsia="Arial" w:cs="Arial"/>
          <w:color w:val="000000"/>
          <w:szCs w:val="18"/>
          <w:highlight w:val="white"/>
        </w:rPr>
        <w:t>or each</w:t>
      </w:r>
      <w:r w:rsidR="00A87821" w:rsidRPr="00200BDA">
        <w:rPr>
          <w:rFonts w:eastAsia="Arial" w:cs="Arial"/>
          <w:color w:val="000000"/>
          <w:szCs w:val="18"/>
          <w:highlight w:val="white"/>
        </w:rPr>
        <w:t xml:space="preserve"> r</w:t>
      </w:r>
      <w:r w:rsidR="004A0FA8" w:rsidRPr="00200BDA">
        <w:rPr>
          <w:rFonts w:eastAsia="Arial" w:cs="Arial"/>
          <w:color w:val="000000"/>
          <w:szCs w:val="18"/>
          <w:highlight w:val="white"/>
        </w:rPr>
        <w:t>e</w:t>
      </w:r>
      <w:r w:rsidR="00A87821" w:rsidRPr="00200BDA">
        <w:rPr>
          <w:rFonts w:eastAsia="Arial" w:cs="Arial"/>
          <w:color w:val="000000"/>
          <w:szCs w:val="18"/>
          <w:highlight w:val="white"/>
        </w:rPr>
        <w:t xml:space="preserve">plica </w:t>
      </w:r>
      <w:r w:rsidR="004A0FA8" w:rsidRPr="00200BDA">
        <w:rPr>
          <w:rFonts w:eastAsia="Arial" w:cs="Arial"/>
          <w:color w:val="000000"/>
          <w:szCs w:val="18"/>
        </w:rPr>
        <w:t>in each of the agitation level.</w:t>
      </w:r>
    </w:p>
    <w:p w14:paraId="5896286C" w14:textId="3648814B" w:rsidR="00391270" w:rsidRPr="00200BDA" w:rsidRDefault="00A87821" w:rsidP="00453E24">
      <w:pPr>
        <w:pStyle w:val="CETBodytext"/>
        <w:rPr>
          <w:lang w:val="en-GB"/>
        </w:rPr>
      </w:pPr>
      <w:r w:rsidRPr="00200BDA">
        <w:rPr>
          <w:lang w:val="en-GB"/>
        </w:rPr>
        <w:t xml:space="preserve"> </w:t>
      </w:r>
    </w:p>
    <w:p w14:paraId="00F81B04" w14:textId="77777777" w:rsidR="00D40484" w:rsidRPr="00200BDA" w:rsidRDefault="00A87821" w:rsidP="00D40484">
      <w:pPr>
        <w:pStyle w:val="CETHeading1"/>
        <w:numPr>
          <w:ilvl w:val="1"/>
          <w:numId w:val="23"/>
        </w:numPr>
        <w:rPr>
          <w:lang w:val="en-GB"/>
        </w:rPr>
      </w:pPr>
      <w:r w:rsidRPr="00200BDA">
        <w:rPr>
          <w:lang w:val="en-GB"/>
        </w:rPr>
        <w:lastRenderedPageBreak/>
        <w:t>Results and Discussion</w:t>
      </w:r>
    </w:p>
    <w:p w14:paraId="78B8B710" w14:textId="56D242FC" w:rsidR="00A87821" w:rsidRPr="00200BDA" w:rsidRDefault="00A87821" w:rsidP="00D40484">
      <w:pPr>
        <w:pStyle w:val="CETHeading1"/>
        <w:numPr>
          <w:ilvl w:val="0"/>
          <w:numId w:val="0"/>
        </w:numPr>
        <w:rPr>
          <w:rFonts w:eastAsia="Arial" w:cs="Arial"/>
          <w:color w:val="000000"/>
          <w:sz w:val="18"/>
          <w:szCs w:val="16"/>
          <w:lang w:val="en-GB"/>
        </w:rPr>
      </w:pPr>
      <w:r w:rsidRPr="00200BDA">
        <w:rPr>
          <w:sz w:val="18"/>
          <w:lang w:val="en-GB"/>
        </w:rPr>
        <w:t>3.1</w:t>
      </w:r>
      <w:r w:rsidRPr="00200BDA">
        <w:rPr>
          <w:lang w:val="en-GB"/>
        </w:rPr>
        <w:t xml:space="preserve"> </w:t>
      </w:r>
      <w:r w:rsidR="00AB22FB" w:rsidRPr="00200BDA">
        <w:rPr>
          <w:sz w:val="18"/>
          <w:szCs w:val="18"/>
          <w:lang w:val="en-GB"/>
        </w:rPr>
        <w:t xml:space="preserve">Biomass </w:t>
      </w:r>
      <w:r w:rsidR="00B53D83" w:rsidRPr="00200BDA">
        <w:rPr>
          <w:rFonts w:eastAsia="Arial" w:cs="Arial"/>
          <w:color w:val="000000"/>
          <w:sz w:val="18"/>
          <w:szCs w:val="16"/>
          <w:lang w:val="en-GB"/>
        </w:rPr>
        <w:t>determination</w:t>
      </w:r>
    </w:p>
    <w:p w14:paraId="05D50CEB" w14:textId="43397317" w:rsidR="00A87821" w:rsidRPr="00200BDA" w:rsidRDefault="004B6FB3" w:rsidP="00A87821">
      <w:pPr>
        <w:pStyle w:val="CETBodytext"/>
        <w:rPr>
          <w:lang w:val="en-GB"/>
        </w:rPr>
      </w:pPr>
      <w:r w:rsidRPr="004B6FB3">
        <w:rPr>
          <w:noProof/>
        </w:rPr>
        <w:drawing>
          <wp:inline distT="0" distB="0" distL="0" distR="0" wp14:anchorId="03A898DA" wp14:editId="4910B43C">
            <wp:extent cx="5579745" cy="1729105"/>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1729105"/>
                    </a:xfrm>
                    <a:prstGeom prst="rect">
                      <a:avLst/>
                    </a:prstGeom>
                    <a:noFill/>
                    <a:ln>
                      <a:noFill/>
                    </a:ln>
                  </pic:spPr>
                </pic:pic>
              </a:graphicData>
            </a:graphic>
          </wp:inline>
        </w:drawing>
      </w:r>
    </w:p>
    <w:p w14:paraId="51CC4AB2" w14:textId="7CD219B2" w:rsidR="00864A6C" w:rsidRPr="00200BDA" w:rsidRDefault="00864A6C" w:rsidP="00864A6C">
      <w:pPr>
        <w:pStyle w:val="CETCaption"/>
      </w:pPr>
      <w:r w:rsidRPr="00772D2E">
        <w:rPr>
          <w:rStyle w:val="CETCaptionCarattere"/>
          <w:b/>
          <w:bCs/>
          <w:i/>
        </w:rPr>
        <w:t>Figure 1:</w:t>
      </w:r>
      <w:r w:rsidRPr="00200BDA">
        <w:rPr>
          <w:rStyle w:val="CETCaptionCarattere"/>
          <w:i/>
        </w:rPr>
        <w:t xml:space="preserve"> Biomass </w:t>
      </w:r>
      <w:r w:rsidR="00395069">
        <w:rPr>
          <w:rStyle w:val="CETCaptionCarattere"/>
          <w:i/>
        </w:rPr>
        <w:t>analysis</w:t>
      </w:r>
      <w:r w:rsidR="0092537D">
        <w:rPr>
          <w:rStyle w:val="CETCaptionCarattere"/>
          <w:i/>
        </w:rPr>
        <w:t xml:space="preserve"> at different agitation speeds </w:t>
      </w:r>
      <w:r w:rsidR="00395069">
        <w:rPr>
          <w:rStyle w:val="CETCaptionCarattere"/>
          <w:i/>
        </w:rPr>
        <w:t xml:space="preserve"> </w:t>
      </w:r>
      <w:r w:rsidR="00395069" w:rsidRPr="00395069">
        <w:rPr>
          <w:rStyle w:val="CETCaptionCarattere"/>
          <w:b/>
          <w:bCs/>
          <w:i/>
        </w:rPr>
        <w:t>a)</w:t>
      </w:r>
      <w:r w:rsidRPr="00200BDA">
        <w:t xml:space="preserve"> </w:t>
      </w:r>
      <w:r w:rsidR="0092537D">
        <w:t xml:space="preserve">220 rpm, </w:t>
      </w:r>
      <w:r w:rsidR="00395069">
        <w:t xml:space="preserve"> </w:t>
      </w:r>
      <w:r w:rsidR="0092537D">
        <w:rPr>
          <w:rStyle w:val="CETCaptionCarattere"/>
          <w:b/>
          <w:bCs/>
          <w:i/>
        </w:rPr>
        <w:t>b</w:t>
      </w:r>
      <w:r w:rsidR="0092537D" w:rsidRPr="00395069">
        <w:rPr>
          <w:rStyle w:val="CETCaptionCarattere"/>
          <w:b/>
          <w:bCs/>
          <w:i/>
        </w:rPr>
        <w:t>)</w:t>
      </w:r>
      <w:r w:rsidR="0092537D" w:rsidRPr="00200BDA">
        <w:t xml:space="preserve"> </w:t>
      </w:r>
      <w:r w:rsidR="0092537D">
        <w:t>350 rpm</w:t>
      </w:r>
    </w:p>
    <w:p w14:paraId="7A32B102" w14:textId="365DE64D" w:rsidR="00BD22B2" w:rsidRDefault="00864A6C" w:rsidP="00A87821">
      <w:pPr>
        <w:pStyle w:val="CETBodytext"/>
        <w:rPr>
          <w:lang w:val="en-GB"/>
        </w:rPr>
      </w:pPr>
      <w:r w:rsidRPr="00200BDA">
        <w:rPr>
          <w:lang w:val="en-GB"/>
        </w:rPr>
        <w:t xml:space="preserve">The indirect measurement of cell growth by optical density was performed during the first </w:t>
      </w:r>
      <w:r w:rsidR="0092537D">
        <w:rPr>
          <w:lang w:val="en-GB"/>
        </w:rPr>
        <w:t>9</w:t>
      </w:r>
      <w:r w:rsidRPr="00200BDA">
        <w:rPr>
          <w:lang w:val="en-GB"/>
        </w:rPr>
        <w:t xml:space="preserve"> hours. In the first 4 hours occurs latent phase and the following hours the exponential phase. About the fifth hour of incubation in which the OD was in the range of 0.28 - 0.32, the induction process was carried out with 0.5 mM of IPTG. Figures 1</w:t>
      </w:r>
      <w:r w:rsidR="0092537D">
        <w:rPr>
          <w:lang w:val="en-GB"/>
        </w:rPr>
        <w:t xml:space="preserve"> </w:t>
      </w:r>
      <w:r w:rsidRPr="00200BDA">
        <w:rPr>
          <w:lang w:val="en-GB"/>
        </w:rPr>
        <w:t>show that cell growth is similar at both levels of agitation</w:t>
      </w:r>
      <w:r w:rsidR="00BD22B2">
        <w:rPr>
          <w:lang w:val="en-GB"/>
        </w:rPr>
        <w:t>, however</w:t>
      </w:r>
      <w:r w:rsidR="006031E7">
        <w:rPr>
          <w:lang w:val="en-GB"/>
        </w:rPr>
        <w:t xml:space="preserve">, in the agitation at 350 rpm there was a slight increase over the last few hours evaluate. The monitoring of microbial growth and its physiology allow to infer that the cells did not present stress when changing from an orbital </w:t>
      </w:r>
      <w:r w:rsidR="009D6C2E">
        <w:rPr>
          <w:lang w:val="en-GB"/>
        </w:rPr>
        <w:t>shaking agitation to a continued stirred reactor, this system may favour oxygen mixing and transfer processes which may influence cell integrity and increase in protein production (Bagagli and Sato 2013)</w:t>
      </w:r>
      <w:r w:rsidR="00951EAD">
        <w:rPr>
          <w:lang w:val="en-GB"/>
        </w:rPr>
        <w:t>. The</w:t>
      </w:r>
      <w:r w:rsidR="003D3FB7">
        <w:rPr>
          <w:lang w:val="en-GB"/>
        </w:rPr>
        <w:t xml:space="preserve">se results can be a first approximation, </w:t>
      </w:r>
      <w:r w:rsidR="00F27286">
        <w:rPr>
          <w:lang w:val="en-GB"/>
        </w:rPr>
        <w:t>considering that</w:t>
      </w:r>
      <w:r w:rsidR="003D3FB7">
        <w:rPr>
          <w:lang w:val="en-GB"/>
        </w:rPr>
        <w:t xml:space="preserve"> the</w:t>
      </w:r>
      <w:r w:rsidR="00951EAD">
        <w:rPr>
          <w:lang w:val="en-GB"/>
        </w:rPr>
        <w:t xml:space="preserve"> relation between aeration rate and impeller agitation speed is so important </w:t>
      </w:r>
      <w:r w:rsidR="00182798">
        <w:rPr>
          <w:lang w:val="en-GB"/>
        </w:rPr>
        <w:t xml:space="preserve">as a </w:t>
      </w:r>
      <w:r w:rsidR="00951EAD">
        <w:rPr>
          <w:lang w:val="en-GB"/>
        </w:rPr>
        <w:t xml:space="preserve">scale-up parameter </w:t>
      </w:r>
      <w:r w:rsidR="00182798">
        <w:rPr>
          <w:lang w:val="en-GB"/>
        </w:rPr>
        <w:t>in the protein production</w:t>
      </w:r>
      <w:r w:rsidR="00F27286">
        <w:rPr>
          <w:lang w:val="en-GB"/>
        </w:rPr>
        <w:t xml:space="preserve"> by </w:t>
      </w:r>
      <w:r w:rsidR="00F27286" w:rsidRPr="00E63172">
        <w:rPr>
          <w:i/>
          <w:iCs/>
          <w:lang w:val="en-GB"/>
        </w:rPr>
        <w:t>E.coli</w:t>
      </w:r>
      <w:r w:rsidR="00F27286">
        <w:rPr>
          <w:lang w:val="en-GB"/>
        </w:rPr>
        <w:t xml:space="preserve"> as a host microorganism</w:t>
      </w:r>
      <w:r w:rsidR="003D3FB7">
        <w:rPr>
          <w:lang w:val="en-GB"/>
        </w:rPr>
        <w:t xml:space="preserve"> (</w:t>
      </w:r>
      <w:r w:rsidR="00FB52DD">
        <w:rPr>
          <w:lang w:val="en-GB"/>
        </w:rPr>
        <w:t>Espinosa</w:t>
      </w:r>
      <w:r w:rsidR="003D3FB7">
        <w:rPr>
          <w:lang w:val="en-GB"/>
        </w:rPr>
        <w:t xml:space="preserve"> </w:t>
      </w:r>
      <w:r w:rsidR="00B06E41">
        <w:rPr>
          <w:lang w:val="en-GB"/>
        </w:rPr>
        <w:t>et al</w:t>
      </w:r>
      <w:r w:rsidR="003D3FB7">
        <w:rPr>
          <w:lang w:val="en-GB"/>
        </w:rPr>
        <w:t>.,</w:t>
      </w:r>
      <w:r w:rsidR="00B06E41">
        <w:rPr>
          <w:lang w:val="en-GB"/>
        </w:rPr>
        <w:t xml:space="preserve"> 2018</w:t>
      </w:r>
      <w:r w:rsidR="00951EAD">
        <w:rPr>
          <w:lang w:val="en-GB"/>
        </w:rPr>
        <w:t>)</w:t>
      </w:r>
      <w:r w:rsidR="003E3487">
        <w:rPr>
          <w:lang w:val="en-GB"/>
        </w:rPr>
        <w:t>.</w:t>
      </w:r>
    </w:p>
    <w:p w14:paraId="01CB1C3C" w14:textId="33435625" w:rsidR="00B53D83" w:rsidRDefault="00B53D83" w:rsidP="00A87821">
      <w:pPr>
        <w:pStyle w:val="CETBodytext"/>
        <w:rPr>
          <w:lang w:val="en-GB"/>
        </w:rPr>
      </w:pPr>
    </w:p>
    <w:p w14:paraId="394C9917" w14:textId="77777777" w:rsidR="00A5550F" w:rsidRPr="00200BDA" w:rsidRDefault="00A5550F" w:rsidP="00A87821">
      <w:pPr>
        <w:pStyle w:val="CETBodytext"/>
        <w:rPr>
          <w:lang w:val="en-GB"/>
        </w:rPr>
      </w:pPr>
    </w:p>
    <w:p w14:paraId="45E32D67" w14:textId="77777777" w:rsidR="00D82E20" w:rsidRDefault="00B53D83" w:rsidP="00D82E20">
      <w:pPr>
        <w:spacing w:line="240" w:lineRule="atLeast"/>
        <w:ind w:hanging="2"/>
        <w:rPr>
          <w:rFonts w:eastAsia="Arial" w:cs="Arial"/>
          <w:b/>
          <w:color w:val="000000"/>
          <w:szCs w:val="18"/>
        </w:rPr>
      </w:pPr>
      <w:r w:rsidRPr="00200BDA">
        <w:rPr>
          <w:rFonts w:eastAsia="Arial"/>
          <w:b/>
          <w:bCs/>
        </w:rPr>
        <w:t>3.2 Protein determination and quantification</w:t>
      </w:r>
      <w:r w:rsidRPr="00200BDA">
        <w:rPr>
          <w:rFonts w:eastAsia="Arial" w:cs="Arial"/>
          <w:b/>
          <w:color w:val="000000"/>
          <w:szCs w:val="18"/>
          <w:highlight w:val="white"/>
        </w:rPr>
        <w:t> </w:t>
      </w:r>
    </w:p>
    <w:p w14:paraId="5288471D" w14:textId="77777777" w:rsidR="00D82E20" w:rsidRDefault="00D82E20" w:rsidP="00D82E20">
      <w:pPr>
        <w:spacing w:line="240" w:lineRule="atLeast"/>
        <w:ind w:hanging="2"/>
      </w:pPr>
    </w:p>
    <w:p w14:paraId="44E4622F" w14:textId="458C1EB9" w:rsidR="004A7B63" w:rsidRPr="0027300F" w:rsidRDefault="004A7B63" w:rsidP="00C977D7">
      <w:pPr>
        <w:spacing w:line="240" w:lineRule="atLeast"/>
        <w:ind w:hanging="2"/>
        <w:rPr>
          <w:rFonts w:eastAsia="Arial" w:cs="Arial"/>
          <w:i/>
          <w:iCs/>
          <w:color w:val="000000"/>
          <w:szCs w:val="18"/>
        </w:rPr>
      </w:pPr>
      <w:r w:rsidRPr="0027300F">
        <w:rPr>
          <w:i/>
          <w:iCs/>
        </w:rPr>
        <w:t xml:space="preserve">Table 1: Protein concentration </w:t>
      </w:r>
    </w:p>
    <w:tbl>
      <w:tblPr>
        <w:tblpPr w:leftFromText="141" w:rightFromText="141" w:vertAnchor="text" w:horzAnchor="margin" w:tblpY="148"/>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47"/>
        <w:gridCol w:w="1027"/>
        <w:gridCol w:w="983"/>
        <w:gridCol w:w="1007"/>
        <w:gridCol w:w="957"/>
        <w:gridCol w:w="981"/>
      </w:tblGrid>
      <w:tr w:rsidR="0027300F" w:rsidRPr="00200BDA" w14:paraId="47DF460E" w14:textId="77777777" w:rsidTr="0027300F">
        <w:tc>
          <w:tcPr>
            <w:tcW w:w="1047" w:type="dxa"/>
            <w:tcBorders>
              <w:top w:val="single" w:sz="12" w:space="0" w:color="008000"/>
              <w:bottom w:val="single" w:sz="6" w:space="0" w:color="008000"/>
            </w:tcBorders>
            <w:shd w:val="clear" w:color="auto" w:fill="FFFFFF"/>
          </w:tcPr>
          <w:p w14:paraId="2412EADB" w14:textId="77777777" w:rsidR="0027300F" w:rsidRPr="00200BDA" w:rsidRDefault="0027300F" w:rsidP="0027300F">
            <w:pPr>
              <w:pStyle w:val="CETBodytext"/>
              <w:rPr>
                <w:lang w:val="en-GB"/>
              </w:rPr>
            </w:pPr>
            <w:r w:rsidRPr="00200BDA">
              <w:rPr>
                <w:lang w:val="en-GB"/>
              </w:rPr>
              <w:t xml:space="preserve">Agitation (rpm) </w:t>
            </w:r>
          </w:p>
        </w:tc>
        <w:tc>
          <w:tcPr>
            <w:tcW w:w="1027" w:type="dxa"/>
            <w:tcBorders>
              <w:top w:val="single" w:sz="12" w:space="0" w:color="008000"/>
              <w:bottom w:val="single" w:sz="6" w:space="0" w:color="008000"/>
            </w:tcBorders>
            <w:shd w:val="clear" w:color="auto" w:fill="FFFFFF"/>
          </w:tcPr>
          <w:p w14:paraId="04C89AE5" w14:textId="77777777" w:rsidR="0027300F" w:rsidRPr="00200BDA" w:rsidRDefault="0027300F" w:rsidP="0027300F">
            <w:pPr>
              <w:pStyle w:val="CETBodytext"/>
              <w:rPr>
                <w:lang w:val="en-GB"/>
              </w:rPr>
            </w:pPr>
            <w:r>
              <w:rPr>
                <w:lang w:val="en-GB"/>
              </w:rPr>
              <w:t>Test</w:t>
            </w:r>
          </w:p>
        </w:tc>
        <w:tc>
          <w:tcPr>
            <w:tcW w:w="983" w:type="dxa"/>
            <w:tcBorders>
              <w:top w:val="single" w:sz="12" w:space="0" w:color="008000"/>
              <w:bottom w:val="single" w:sz="6" w:space="0" w:color="008000"/>
            </w:tcBorders>
            <w:shd w:val="clear" w:color="auto" w:fill="FFFFFF"/>
          </w:tcPr>
          <w:p w14:paraId="1EEAF3AC" w14:textId="77777777" w:rsidR="0027300F" w:rsidRPr="00200BDA" w:rsidRDefault="0027300F" w:rsidP="0027300F">
            <w:pPr>
              <w:pStyle w:val="CETBodytext"/>
              <w:rPr>
                <w:rFonts w:ascii="Symbol" w:eastAsia="Arial" w:hAnsi="Symbol" w:cs="Arial"/>
                <w:color w:val="000000"/>
                <w:szCs w:val="18"/>
                <w:highlight w:val="white"/>
                <w:lang w:val="en-GB"/>
              </w:rPr>
            </w:pPr>
            <w:r w:rsidRPr="00200BDA">
              <w:rPr>
                <w:lang w:val="en-GB"/>
              </w:rPr>
              <w:t>NIC</w:t>
            </w:r>
            <w:r w:rsidRPr="00200BDA">
              <w:rPr>
                <w:vertAlign w:val="superscript"/>
                <w:lang w:val="en-GB"/>
              </w:rPr>
              <w:t>1</w:t>
            </w:r>
            <w:r w:rsidRPr="00200BDA">
              <w:rPr>
                <w:rFonts w:ascii="Symbol" w:eastAsia="Arial" w:hAnsi="Symbol" w:cs="Arial"/>
                <w:color w:val="000000"/>
                <w:szCs w:val="18"/>
                <w:highlight w:val="white"/>
                <w:lang w:val="en-GB"/>
              </w:rPr>
              <w:t></w:t>
            </w:r>
          </w:p>
          <w:p w14:paraId="3692D4F8" w14:textId="77777777" w:rsidR="0027300F" w:rsidRPr="00200BDA" w:rsidRDefault="0027300F" w:rsidP="0027300F">
            <w:pPr>
              <w:pStyle w:val="CETBodytext"/>
              <w:rPr>
                <w:lang w:val="en-GB"/>
              </w:rPr>
            </w:pPr>
            <w:r w:rsidRPr="00200BDA">
              <w:rPr>
                <w:rFonts w:ascii="Symbol" w:eastAsia="Arial" w:hAnsi="Symbol" w:cs="Arial"/>
                <w:color w:val="000000"/>
                <w:szCs w:val="18"/>
                <w:highlight w:val="white"/>
                <w:lang w:val="en-GB"/>
              </w:rPr>
              <w:t></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sidRPr="00200BDA">
              <w:rPr>
                <w:rFonts w:eastAsia="Arial" w:cs="Arial"/>
                <w:color w:val="000000"/>
                <w:szCs w:val="18"/>
                <w:lang w:val="en-GB"/>
              </w:rPr>
              <w:t>)</w:t>
            </w:r>
          </w:p>
        </w:tc>
        <w:tc>
          <w:tcPr>
            <w:tcW w:w="1007" w:type="dxa"/>
            <w:tcBorders>
              <w:top w:val="single" w:sz="12" w:space="0" w:color="008000"/>
              <w:bottom w:val="single" w:sz="6" w:space="0" w:color="008000"/>
            </w:tcBorders>
            <w:shd w:val="clear" w:color="auto" w:fill="FFFFFF"/>
          </w:tcPr>
          <w:p w14:paraId="3A00EC82" w14:textId="77777777" w:rsidR="0027300F" w:rsidRPr="00200BDA" w:rsidRDefault="0027300F" w:rsidP="0027300F">
            <w:pPr>
              <w:pStyle w:val="CETBodytext"/>
              <w:ind w:right="-1"/>
              <w:rPr>
                <w:vertAlign w:val="superscript"/>
                <w:lang w:val="en-GB"/>
              </w:rPr>
            </w:pPr>
            <w:r w:rsidRPr="00200BDA">
              <w:rPr>
                <w:lang w:val="en-GB"/>
              </w:rPr>
              <w:t>ANIC</w:t>
            </w:r>
            <w:r w:rsidRPr="00200BDA">
              <w:rPr>
                <w:vertAlign w:val="superscript"/>
                <w:lang w:val="en-GB"/>
              </w:rPr>
              <w:t>2</w:t>
            </w:r>
          </w:p>
          <w:p w14:paraId="507E1CD4" w14:textId="77777777" w:rsidR="0027300F" w:rsidRPr="00200BDA" w:rsidRDefault="0027300F" w:rsidP="0027300F">
            <w:pPr>
              <w:pStyle w:val="CETBodytext"/>
              <w:ind w:right="-1"/>
              <w:rPr>
                <w:rFonts w:cs="Arial"/>
                <w:szCs w:val="18"/>
                <w:lang w:val="en-GB"/>
              </w:rPr>
            </w:pPr>
            <w:r w:rsidRPr="00200BDA">
              <w:rPr>
                <w:rFonts w:ascii="Symbol" w:eastAsia="Arial" w:hAnsi="Symbol" w:cs="Arial"/>
                <w:color w:val="000000"/>
                <w:szCs w:val="18"/>
                <w:highlight w:val="white"/>
                <w:lang w:val="en-GB"/>
              </w:rPr>
              <w:t></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sidRPr="00200BDA">
              <w:rPr>
                <w:rFonts w:eastAsia="Arial" w:cs="Arial"/>
                <w:color w:val="000000"/>
                <w:szCs w:val="18"/>
                <w:lang w:val="en-GB"/>
              </w:rPr>
              <w:t>)</w:t>
            </w:r>
          </w:p>
        </w:tc>
        <w:tc>
          <w:tcPr>
            <w:tcW w:w="957" w:type="dxa"/>
            <w:tcBorders>
              <w:top w:val="single" w:sz="12" w:space="0" w:color="008000"/>
              <w:bottom w:val="single" w:sz="6" w:space="0" w:color="008000"/>
            </w:tcBorders>
            <w:shd w:val="clear" w:color="auto" w:fill="FFFFFF"/>
          </w:tcPr>
          <w:p w14:paraId="1124D68C" w14:textId="77777777" w:rsidR="0027300F" w:rsidRPr="00200BDA" w:rsidRDefault="0027300F" w:rsidP="0027300F">
            <w:pPr>
              <w:pStyle w:val="CETBodytext"/>
              <w:ind w:right="-1"/>
              <w:rPr>
                <w:vertAlign w:val="superscript"/>
                <w:lang w:val="en-GB"/>
              </w:rPr>
            </w:pPr>
            <w:r w:rsidRPr="00200BDA">
              <w:rPr>
                <w:lang w:val="en-GB"/>
              </w:rPr>
              <w:t>IC</w:t>
            </w:r>
            <w:r w:rsidRPr="00200BDA">
              <w:rPr>
                <w:vertAlign w:val="superscript"/>
                <w:lang w:val="en-GB"/>
              </w:rPr>
              <w:t>3</w:t>
            </w:r>
          </w:p>
          <w:p w14:paraId="4D47710E" w14:textId="77777777" w:rsidR="0027300F" w:rsidRPr="00200BDA" w:rsidRDefault="0027300F" w:rsidP="0027300F">
            <w:pPr>
              <w:pStyle w:val="CETBodytext"/>
              <w:ind w:right="-1"/>
              <w:rPr>
                <w:lang w:val="en-GB"/>
              </w:rPr>
            </w:pPr>
            <w:r w:rsidRPr="00200BDA">
              <w:rPr>
                <w:rFonts w:ascii="Symbol" w:eastAsia="Arial" w:hAnsi="Symbol" w:cs="Arial"/>
                <w:color w:val="000000"/>
                <w:szCs w:val="18"/>
                <w:highlight w:val="white"/>
                <w:lang w:val="en-GB"/>
              </w:rPr>
              <w:t></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sidRPr="00200BDA">
              <w:rPr>
                <w:rFonts w:eastAsia="Arial" w:cs="Arial"/>
                <w:color w:val="000000"/>
                <w:szCs w:val="18"/>
                <w:lang w:val="en-GB"/>
              </w:rPr>
              <w:t>)</w:t>
            </w:r>
          </w:p>
        </w:tc>
        <w:tc>
          <w:tcPr>
            <w:tcW w:w="981" w:type="dxa"/>
            <w:tcBorders>
              <w:top w:val="single" w:sz="12" w:space="0" w:color="008000"/>
              <w:bottom w:val="single" w:sz="6" w:space="0" w:color="008000"/>
            </w:tcBorders>
            <w:shd w:val="clear" w:color="auto" w:fill="FFFFFF"/>
          </w:tcPr>
          <w:p w14:paraId="48C908C4" w14:textId="77777777" w:rsidR="0027300F" w:rsidRPr="00200BDA" w:rsidRDefault="0027300F" w:rsidP="0027300F">
            <w:pPr>
              <w:pStyle w:val="CETBodytext"/>
              <w:ind w:right="-1"/>
              <w:rPr>
                <w:vertAlign w:val="superscript"/>
                <w:lang w:val="en-GB"/>
              </w:rPr>
            </w:pPr>
            <w:r w:rsidRPr="00200BDA">
              <w:rPr>
                <w:lang w:val="en-GB"/>
              </w:rPr>
              <w:t>AIC</w:t>
            </w:r>
            <w:r w:rsidRPr="00200BDA">
              <w:rPr>
                <w:vertAlign w:val="superscript"/>
                <w:lang w:val="en-GB"/>
              </w:rPr>
              <w:t>4</w:t>
            </w:r>
          </w:p>
          <w:p w14:paraId="63622982" w14:textId="77777777" w:rsidR="0027300F" w:rsidRPr="00200BDA" w:rsidRDefault="0027300F" w:rsidP="0027300F">
            <w:pPr>
              <w:pStyle w:val="CETBodytext"/>
              <w:ind w:right="-1"/>
              <w:rPr>
                <w:lang w:val="en-GB"/>
              </w:rPr>
            </w:pPr>
            <w:r w:rsidRPr="00200BDA">
              <w:rPr>
                <w:rFonts w:ascii="Symbol" w:eastAsia="Arial" w:hAnsi="Symbol" w:cs="Arial"/>
                <w:color w:val="000000"/>
                <w:szCs w:val="18"/>
                <w:highlight w:val="white"/>
                <w:lang w:val="en-GB"/>
              </w:rPr>
              <w:t></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sidRPr="00200BDA">
              <w:rPr>
                <w:rFonts w:eastAsia="Arial" w:cs="Arial"/>
                <w:color w:val="000000"/>
                <w:szCs w:val="18"/>
                <w:lang w:val="en-GB"/>
              </w:rPr>
              <w:t>)</w:t>
            </w:r>
          </w:p>
        </w:tc>
      </w:tr>
      <w:tr w:rsidR="0027300F" w:rsidRPr="00200BDA" w14:paraId="4D77437F" w14:textId="77777777" w:rsidTr="0027300F">
        <w:tc>
          <w:tcPr>
            <w:tcW w:w="1047" w:type="dxa"/>
            <w:shd w:val="clear" w:color="auto" w:fill="FFFFFF"/>
          </w:tcPr>
          <w:p w14:paraId="5B8F5B27" w14:textId="77777777" w:rsidR="0027300F" w:rsidRPr="00200BDA" w:rsidRDefault="0027300F" w:rsidP="0027300F">
            <w:pPr>
              <w:pStyle w:val="CETBodytext"/>
              <w:rPr>
                <w:lang w:val="en-GB"/>
              </w:rPr>
            </w:pPr>
            <w:r w:rsidRPr="00200BDA">
              <w:rPr>
                <w:lang w:val="en-GB"/>
              </w:rPr>
              <w:t>220</w:t>
            </w:r>
          </w:p>
        </w:tc>
        <w:tc>
          <w:tcPr>
            <w:tcW w:w="1027" w:type="dxa"/>
            <w:shd w:val="clear" w:color="auto" w:fill="FFFFFF"/>
          </w:tcPr>
          <w:p w14:paraId="25A8DFBB" w14:textId="77777777" w:rsidR="0027300F" w:rsidRPr="00200BDA" w:rsidRDefault="0027300F" w:rsidP="0027300F">
            <w:pPr>
              <w:pStyle w:val="CETBodytext"/>
              <w:rPr>
                <w:lang w:val="en-GB"/>
              </w:rPr>
            </w:pPr>
            <w:r w:rsidRPr="00200BDA">
              <w:rPr>
                <w:lang w:val="en-GB"/>
              </w:rPr>
              <w:t>1</w:t>
            </w:r>
          </w:p>
        </w:tc>
        <w:tc>
          <w:tcPr>
            <w:tcW w:w="983" w:type="dxa"/>
            <w:shd w:val="clear" w:color="auto" w:fill="FFFFFF"/>
          </w:tcPr>
          <w:p w14:paraId="5A9BC660" w14:textId="77777777" w:rsidR="0027300F" w:rsidRPr="00200BDA" w:rsidRDefault="0027300F" w:rsidP="0027300F">
            <w:pPr>
              <w:pStyle w:val="CETBodytext"/>
              <w:rPr>
                <w:lang w:val="en-GB"/>
              </w:rPr>
            </w:pPr>
            <w:r w:rsidRPr="00200BDA">
              <w:rPr>
                <w:lang w:val="en-GB"/>
              </w:rPr>
              <w:t>857</w:t>
            </w:r>
          </w:p>
        </w:tc>
        <w:tc>
          <w:tcPr>
            <w:tcW w:w="1007" w:type="dxa"/>
            <w:vMerge w:val="restart"/>
            <w:shd w:val="clear" w:color="auto" w:fill="FFFFFF"/>
            <w:vAlign w:val="center"/>
          </w:tcPr>
          <w:p w14:paraId="2516289E" w14:textId="77777777" w:rsidR="0027300F" w:rsidRPr="00200BDA" w:rsidRDefault="0027300F" w:rsidP="0027300F">
            <w:pPr>
              <w:pStyle w:val="CETBodytext"/>
              <w:ind w:right="-1"/>
              <w:jc w:val="left"/>
              <w:rPr>
                <w:rFonts w:cs="Arial"/>
                <w:szCs w:val="18"/>
                <w:lang w:val="en-GB"/>
              </w:rPr>
            </w:pPr>
            <w:r w:rsidRPr="00200BDA">
              <w:rPr>
                <w:rFonts w:cs="Arial"/>
                <w:szCs w:val="18"/>
                <w:lang w:val="en-GB"/>
              </w:rPr>
              <w:t>883.25</w:t>
            </w:r>
          </w:p>
        </w:tc>
        <w:tc>
          <w:tcPr>
            <w:tcW w:w="957" w:type="dxa"/>
            <w:shd w:val="clear" w:color="auto" w:fill="FFFFFF"/>
          </w:tcPr>
          <w:p w14:paraId="5E2103C6" w14:textId="77777777" w:rsidR="0027300F" w:rsidRPr="00200BDA" w:rsidRDefault="0027300F" w:rsidP="0027300F">
            <w:pPr>
              <w:pStyle w:val="CETBodytext"/>
              <w:ind w:right="-1"/>
              <w:rPr>
                <w:rFonts w:cs="Arial"/>
                <w:szCs w:val="18"/>
                <w:lang w:val="en-GB"/>
              </w:rPr>
            </w:pPr>
            <w:r w:rsidRPr="00200BDA">
              <w:rPr>
                <w:rFonts w:cs="Arial"/>
                <w:szCs w:val="18"/>
                <w:lang w:val="en-GB"/>
              </w:rPr>
              <w:t>1352.66</w:t>
            </w:r>
          </w:p>
        </w:tc>
        <w:tc>
          <w:tcPr>
            <w:tcW w:w="981" w:type="dxa"/>
            <w:vMerge w:val="restart"/>
            <w:shd w:val="clear" w:color="auto" w:fill="FFFFFF"/>
            <w:vAlign w:val="center"/>
          </w:tcPr>
          <w:p w14:paraId="339A9C9F" w14:textId="77777777" w:rsidR="0027300F" w:rsidRPr="00200BDA" w:rsidRDefault="0027300F" w:rsidP="0027300F">
            <w:pPr>
              <w:pStyle w:val="CETBodytext"/>
              <w:ind w:right="-1"/>
              <w:jc w:val="left"/>
              <w:rPr>
                <w:rFonts w:cs="Arial"/>
                <w:szCs w:val="18"/>
                <w:lang w:val="en-GB"/>
              </w:rPr>
            </w:pPr>
            <w:r w:rsidRPr="00200BDA">
              <w:rPr>
                <w:rFonts w:cs="Arial"/>
                <w:szCs w:val="18"/>
                <w:lang w:val="en-GB"/>
              </w:rPr>
              <w:t>1465.83</w:t>
            </w:r>
          </w:p>
        </w:tc>
      </w:tr>
      <w:tr w:rsidR="0027300F" w:rsidRPr="00200BDA" w14:paraId="0E927777" w14:textId="77777777" w:rsidTr="0027300F">
        <w:tc>
          <w:tcPr>
            <w:tcW w:w="1047" w:type="dxa"/>
            <w:shd w:val="clear" w:color="auto" w:fill="FFFFFF"/>
          </w:tcPr>
          <w:p w14:paraId="736540C4" w14:textId="77777777" w:rsidR="0027300F" w:rsidRPr="00200BDA" w:rsidRDefault="0027300F" w:rsidP="0027300F">
            <w:pPr>
              <w:pStyle w:val="CETBodytext"/>
              <w:rPr>
                <w:lang w:val="en-GB"/>
              </w:rPr>
            </w:pPr>
          </w:p>
        </w:tc>
        <w:tc>
          <w:tcPr>
            <w:tcW w:w="1027" w:type="dxa"/>
            <w:shd w:val="clear" w:color="auto" w:fill="FFFFFF"/>
          </w:tcPr>
          <w:p w14:paraId="0E72930C" w14:textId="77777777" w:rsidR="0027300F" w:rsidRPr="00200BDA" w:rsidRDefault="0027300F" w:rsidP="0027300F">
            <w:pPr>
              <w:pStyle w:val="CETBodytext"/>
              <w:rPr>
                <w:lang w:val="en-GB"/>
              </w:rPr>
            </w:pPr>
            <w:r w:rsidRPr="00200BDA">
              <w:rPr>
                <w:lang w:val="en-GB"/>
              </w:rPr>
              <w:t>2</w:t>
            </w:r>
          </w:p>
        </w:tc>
        <w:tc>
          <w:tcPr>
            <w:tcW w:w="983" w:type="dxa"/>
            <w:shd w:val="clear" w:color="auto" w:fill="FFFFFF"/>
          </w:tcPr>
          <w:p w14:paraId="5C7FDFF1" w14:textId="77777777" w:rsidR="0027300F" w:rsidRPr="00200BDA" w:rsidRDefault="0027300F" w:rsidP="0027300F">
            <w:pPr>
              <w:pStyle w:val="CETBodytext"/>
              <w:rPr>
                <w:lang w:val="en-GB"/>
              </w:rPr>
            </w:pPr>
            <w:r w:rsidRPr="00200BDA">
              <w:rPr>
                <w:lang w:val="en-GB"/>
              </w:rPr>
              <w:t>909.5</w:t>
            </w:r>
          </w:p>
        </w:tc>
        <w:tc>
          <w:tcPr>
            <w:tcW w:w="1007" w:type="dxa"/>
            <w:vMerge/>
            <w:shd w:val="clear" w:color="auto" w:fill="FFFFFF"/>
          </w:tcPr>
          <w:p w14:paraId="30BEFD50" w14:textId="77777777" w:rsidR="0027300F" w:rsidRPr="00200BDA" w:rsidRDefault="0027300F" w:rsidP="0027300F">
            <w:pPr>
              <w:pStyle w:val="CETBodytext"/>
              <w:ind w:right="-1"/>
              <w:rPr>
                <w:rFonts w:cs="Arial"/>
                <w:szCs w:val="18"/>
                <w:lang w:val="en-GB"/>
              </w:rPr>
            </w:pPr>
          </w:p>
        </w:tc>
        <w:tc>
          <w:tcPr>
            <w:tcW w:w="957" w:type="dxa"/>
            <w:shd w:val="clear" w:color="auto" w:fill="FFFFFF"/>
          </w:tcPr>
          <w:p w14:paraId="2A08BAF5" w14:textId="77777777" w:rsidR="0027300F" w:rsidRPr="00200BDA" w:rsidRDefault="0027300F" w:rsidP="0027300F">
            <w:pPr>
              <w:pStyle w:val="CETBodytext"/>
              <w:ind w:right="-1"/>
              <w:rPr>
                <w:rFonts w:cs="Arial"/>
                <w:szCs w:val="18"/>
                <w:lang w:val="en-GB"/>
              </w:rPr>
            </w:pPr>
            <w:r w:rsidRPr="00200BDA">
              <w:rPr>
                <w:rFonts w:cs="Arial"/>
                <w:szCs w:val="18"/>
                <w:lang w:val="en-GB"/>
              </w:rPr>
              <w:t>1579</w:t>
            </w:r>
          </w:p>
        </w:tc>
        <w:tc>
          <w:tcPr>
            <w:tcW w:w="981" w:type="dxa"/>
            <w:vMerge/>
            <w:shd w:val="clear" w:color="auto" w:fill="FFFFFF"/>
          </w:tcPr>
          <w:p w14:paraId="2BF91B20" w14:textId="77777777" w:rsidR="0027300F" w:rsidRPr="00200BDA" w:rsidRDefault="0027300F" w:rsidP="0027300F">
            <w:pPr>
              <w:pStyle w:val="CETBodytext"/>
              <w:ind w:right="-1"/>
              <w:jc w:val="left"/>
              <w:rPr>
                <w:rFonts w:cs="Arial"/>
                <w:szCs w:val="18"/>
                <w:lang w:val="en-GB"/>
              </w:rPr>
            </w:pPr>
          </w:p>
        </w:tc>
      </w:tr>
      <w:tr w:rsidR="0027300F" w:rsidRPr="00200BDA" w14:paraId="42DD38D5" w14:textId="77777777" w:rsidTr="0027300F">
        <w:tc>
          <w:tcPr>
            <w:tcW w:w="1047" w:type="dxa"/>
            <w:shd w:val="clear" w:color="auto" w:fill="FFFFFF"/>
          </w:tcPr>
          <w:p w14:paraId="23FDC5BB" w14:textId="77777777" w:rsidR="0027300F" w:rsidRPr="00200BDA" w:rsidRDefault="0027300F" w:rsidP="0027300F">
            <w:pPr>
              <w:pStyle w:val="CETBodytext"/>
              <w:ind w:right="-1"/>
              <w:rPr>
                <w:rFonts w:cs="Arial"/>
                <w:szCs w:val="18"/>
                <w:lang w:val="en-GB"/>
              </w:rPr>
            </w:pPr>
            <w:r w:rsidRPr="00200BDA">
              <w:rPr>
                <w:rFonts w:cs="Arial"/>
                <w:szCs w:val="18"/>
                <w:lang w:val="en-GB"/>
              </w:rPr>
              <w:t>350</w:t>
            </w:r>
          </w:p>
        </w:tc>
        <w:tc>
          <w:tcPr>
            <w:tcW w:w="1027" w:type="dxa"/>
            <w:shd w:val="clear" w:color="auto" w:fill="FFFFFF"/>
          </w:tcPr>
          <w:p w14:paraId="599764EF" w14:textId="77777777" w:rsidR="0027300F" w:rsidRPr="00200BDA" w:rsidRDefault="0027300F" w:rsidP="0027300F">
            <w:pPr>
              <w:pStyle w:val="CETBodytext"/>
              <w:ind w:right="-1"/>
              <w:rPr>
                <w:rFonts w:cs="Arial"/>
                <w:szCs w:val="18"/>
                <w:lang w:val="en-GB"/>
              </w:rPr>
            </w:pPr>
            <w:r w:rsidRPr="00200BDA">
              <w:rPr>
                <w:rFonts w:cs="Arial"/>
                <w:szCs w:val="18"/>
                <w:lang w:val="en-GB"/>
              </w:rPr>
              <w:t>1</w:t>
            </w:r>
          </w:p>
        </w:tc>
        <w:tc>
          <w:tcPr>
            <w:tcW w:w="983" w:type="dxa"/>
            <w:shd w:val="clear" w:color="auto" w:fill="FFFFFF"/>
          </w:tcPr>
          <w:p w14:paraId="2008020A" w14:textId="77777777" w:rsidR="0027300F" w:rsidRPr="00200BDA" w:rsidRDefault="0027300F" w:rsidP="0027300F">
            <w:pPr>
              <w:pStyle w:val="CETBodytext"/>
              <w:ind w:right="-1"/>
              <w:rPr>
                <w:rFonts w:cs="Arial"/>
                <w:szCs w:val="18"/>
                <w:lang w:val="en-GB"/>
              </w:rPr>
            </w:pPr>
            <w:r w:rsidRPr="00200BDA">
              <w:rPr>
                <w:rFonts w:cs="Arial"/>
                <w:szCs w:val="18"/>
                <w:lang w:val="en-GB"/>
              </w:rPr>
              <w:t>1141</w:t>
            </w:r>
          </w:p>
        </w:tc>
        <w:tc>
          <w:tcPr>
            <w:tcW w:w="1007" w:type="dxa"/>
            <w:vMerge w:val="restart"/>
            <w:shd w:val="clear" w:color="auto" w:fill="FFFFFF"/>
            <w:vAlign w:val="center"/>
          </w:tcPr>
          <w:p w14:paraId="6E42EB9C" w14:textId="77777777" w:rsidR="0027300F" w:rsidRPr="00200BDA" w:rsidRDefault="0027300F" w:rsidP="0027300F">
            <w:pPr>
              <w:pStyle w:val="CETBodytext"/>
              <w:ind w:right="-1"/>
              <w:jc w:val="left"/>
              <w:rPr>
                <w:rFonts w:cs="Arial"/>
                <w:szCs w:val="18"/>
                <w:lang w:val="en-GB"/>
              </w:rPr>
            </w:pPr>
            <w:r w:rsidRPr="00200BDA">
              <w:rPr>
                <w:rFonts w:cs="Arial"/>
                <w:szCs w:val="18"/>
                <w:lang w:val="en-GB"/>
              </w:rPr>
              <w:t>1197.75</w:t>
            </w:r>
          </w:p>
        </w:tc>
        <w:tc>
          <w:tcPr>
            <w:tcW w:w="957" w:type="dxa"/>
            <w:shd w:val="clear" w:color="auto" w:fill="FFFFFF"/>
          </w:tcPr>
          <w:p w14:paraId="18559F6F" w14:textId="77777777" w:rsidR="0027300F" w:rsidRPr="00200BDA" w:rsidRDefault="0027300F" w:rsidP="0027300F">
            <w:pPr>
              <w:pStyle w:val="CETBodytext"/>
              <w:ind w:right="-1"/>
              <w:rPr>
                <w:rFonts w:cs="Arial"/>
                <w:szCs w:val="18"/>
                <w:lang w:val="en-GB"/>
              </w:rPr>
            </w:pPr>
            <w:r w:rsidRPr="00200BDA">
              <w:rPr>
                <w:rFonts w:cs="Arial"/>
                <w:szCs w:val="18"/>
                <w:lang w:val="en-GB"/>
              </w:rPr>
              <w:t>3071</w:t>
            </w:r>
          </w:p>
        </w:tc>
        <w:tc>
          <w:tcPr>
            <w:tcW w:w="981" w:type="dxa"/>
            <w:vMerge w:val="restart"/>
            <w:shd w:val="clear" w:color="auto" w:fill="FFFFFF"/>
            <w:vAlign w:val="center"/>
          </w:tcPr>
          <w:p w14:paraId="27D21E32" w14:textId="77777777" w:rsidR="0027300F" w:rsidRPr="00200BDA" w:rsidRDefault="0027300F" w:rsidP="0027300F">
            <w:pPr>
              <w:pStyle w:val="CETBodytext"/>
              <w:ind w:right="-1"/>
              <w:jc w:val="left"/>
              <w:rPr>
                <w:rFonts w:cs="Arial"/>
                <w:szCs w:val="18"/>
                <w:lang w:val="en-GB"/>
              </w:rPr>
            </w:pPr>
            <w:r w:rsidRPr="00200BDA">
              <w:rPr>
                <w:rFonts w:cs="Arial"/>
                <w:szCs w:val="18"/>
                <w:lang w:val="en-GB"/>
              </w:rPr>
              <w:t>2973.5</w:t>
            </w:r>
          </w:p>
        </w:tc>
      </w:tr>
      <w:tr w:rsidR="0027300F" w:rsidRPr="00200BDA" w14:paraId="0A7EF6CC" w14:textId="77777777" w:rsidTr="0027300F">
        <w:tc>
          <w:tcPr>
            <w:tcW w:w="1047" w:type="dxa"/>
            <w:shd w:val="clear" w:color="auto" w:fill="FFFFFF"/>
          </w:tcPr>
          <w:p w14:paraId="3BDA26F6" w14:textId="77777777" w:rsidR="0027300F" w:rsidRPr="00200BDA" w:rsidRDefault="0027300F" w:rsidP="0027300F">
            <w:pPr>
              <w:pStyle w:val="CETBodytext"/>
              <w:ind w:right="-1"/>
              <w:rPr>
                <w:rFonts w:cs="Arial"/>
                <w:szCs w:val="18"/>
                <w:lang w:val="en-GB"/>
              </w:rPr>
            </w:pPr>
          </w:p>
        </w:tc>
        <w:tc>
          <w:tcPr>
            <w:tcW w:w="1027" w:type="dxa"/>
            <w:shd w:val="clear" w:color="auto" w:fill="FFFFFF"/>
          </w:tcPr>
          <w:p w14:paraId="3B156E34" w14:textId="77777777" w:rsidR="0027300F" w:rsidRPr="00200BDA" w:rsidRDefault="0027300F" w:rsidP="0027300F">
            <w:pPr>
              <w:pStyle w:val="CETBodytext"/>
              <w:ind w:right="-1"/>
              <w:rPr>
                <w:rFonts w:cs="Arial"/>
                <w:szCs w:val="18"/>
                <w:lang w:val="en-GB"/>
              </w:rPr>
            </w:pPr>
            <w:r w:rsidRPr="00200BDA">
              <w:rPr>
                <w:rFonts w:cs="Arial"/>
                <w:szCs w:val="18"/>
                <w:lang w:val="en-GB"/>
              </w:rPr>
              <w:t>2</w:t>
            </w:r>
          </w:p>
        </w:tc>
        <w:tc>
          <w:tcPr>
            <w:tcW w:w="983" w:type="dxa"/>
            <w:shd w:val="clear" w:color="auto" w:fill="FFFFFF"/>
          </w:tcPr>
          <w:p w14:paraId="40319BA1" w14:textId="77777777" w:rsidR="0027300F" w:rsidRPr="00200BDA" w:rsidRDefault="0027300F" w:rsidP="0027300F">
            <w:pPr>
              <w:pStyle w:val="CETBodytext"/>
              <w:ind w:right="-1"/>
              <w:rPr>
                <w:rFonts w:cs="Arial"/>
                <w:szCs w:val="18"/>
                <w:lang w:val="en-GB"/>
              </w:rPr>
            </w:pPr>
            <w:r w:rsidRPr="00200BDA">
              <w:rPr>
                <w:rFonts w:cs="Arial"/>
                <w:szCs w:val="18"/>
                <w:lang w:val="en-GB"/>
              </w:rPr>
              <w:t>1254.5</w:t>
            </w:r>
          </w:p>
        </w:tc>
        <w:tc>
          <w:tcPr>
            <w:tcW w:w="1007" w:type="dxa"/>
            <w:vMerge/>
            <w:shd w:val="clear" w:color="auto" w:fill="FFFFFF"/>
            <w:vAlign w:val="center"/>
          </w:tcPr>
          <w:p w14:paraId="4A2C480E" w14:textId="77777777" w:rsidR="0027300F" w:rsidRPr="00200BDA" w:rsidRDefault="0027300F" w:rsidP="0027300F">
            <w:pPr>
              <w:pStyle w:val="CETBodytext"/>
              <w:ind w:right="-1"/>
              <w:jc w:val="left"/>
              <w:rPr>
                <w:rFonts w:cs="Arial"/>
                <w:szCs w:val="18"/>
                <w:lang w:val="en-GB"/>
              </w:rPr>
            </w:pPr>
          </w:p>
        </w:tc>
        <w:tc>
          <w:tcPr>
            <w:tcW w:w="957" w:type="dxa"/>
            <w:shd w:val="clear" w:color="auto" w:fill="FFFFFF"/>
          </w:tcPr>
          <w:p w14:paraId="1FD50F63" w14:textId="77777777" w:rsidR="0027300F" w:rsidRPr="00200BDA" w:rsidRDefault="0027300F" w:rsidP="0027300F">
            <w:pPr>
              <w:pStyle w:val="CETBodytext"/>
              <w:ind w:right="-1"/>
              <w:rPr>
                <w:rFonts w:cs="Arial"/>
                <w:szCs w:val="18"/>
                <w:lang w:val="en-GB"/>
              </w:rPr>
            </w:pPr>
            <w:r w:rsidRPr="00200BDA">
              <w:rPr>
                <w:rFonts w:cs="Arial"/>
                <w:szCs w:val="18"/>
                <w:lang w:val="en-GB"/>
              </w:rPr>
              <w:t>2876</w:t>
            </w:r>
          </w:p>
        </w:tc>
        <w:tc>
          <w:tcPr>
            <w:tcW w:w="981" w:type="dxa"/>
            <w:vMerge/>
            <w:shd w:val="clear" w:color="auto" w:fill="FFFFFF"/>
          </w:tcPr>
          <w:p w14:paraId="4BBC1BAF" w14:textId="77777777" w:rsidR="0027300F" w:rsidRPr="00200BDA" w:rsidRDefault="0027300F" w:rsidP="0027300F">
            <w:pPr>
              <w:pStyle w:val="CETBodytext"/>
              <w:ind w:right="-1"/>
              <w:rPr>
                <w:rFonts w:cs="Arial"/>
                <w:szCs w:val="18"/>
                <w:lang w:val="en-GB"/>
              </w:rPr>
            </w:pPr>
          </w:p>
        </w:tc>
      </w:tr>
    </w:tbl>
    <w:p w14:paraId="611FB915" w14:textId="29D62F81" w:rsidR="00C977D7" w:rsidRDefault="00C977D7" w:rsidP="00C977D7">
      <w:pPr>
        <w:spacing w:line="240" w:lineRule="atLeast"/>
        <w:ind w:hanging="2"/>
        <w:rPr>
          <w:rFonts w:eastAsia="Arial" w:cs="Arial"/>
          <w:color w:val="000000"/>
          <w:szCs w:val="18"/>
        </w:rPr>
      </w:pPr>
    </w:p>
    <w:p w14:paraId="18E93771" w14:textId="77777777" w:rsidR="00C977D7" w:rsidRPr="00200BDA" w:rsidRDefault="00C977D7" w:rsidP="00C977D7">
      <w:pPr>
        <w:spacing w:line="240" w:lineRule="atLeast"/>
        <w:ind w:hanging="2"/>
        <w:rPr>
          <w:i/>
          <w:iCs/>
          <w:sz w:val="16"/>
          <w:szCs w:val="18"/>
        </w:rPr>
      </w:pPr>
    </w:p>
    <w:p w14:paraId="22816D80" w14:textId="2FB24265" w:rsidR="00E161A2" w:rsidRDefault="00E161A2" w:rsidP="00453E24">
      <w:pPr>
        <w:pStyle w:val="CETBodytext"/>
        <w:rPr>
          <w:i/>
          <w:iCs/>
          <w:lang w:val="en-GB"/>
        </w:rPr>
      </w:pPr>
    </w:p>
    <w:p w14:paraId="64A9F7F4" w14:textId="679A2E9E" w:rsidR="00C977D7" w:rsidRDefault="00C977D7" w:rsidP="00453E24">
      <w:pPr>
        <w:pStyle w:val="CETBodytext"/>
        <w:rPr>
          <w:i/>
          <w:iCs/>
          <w:lang w:val="en-GB"/>
        </w:rPr>
      </w:pPr>
    </w:p>
    <w:p w14:paraId="20FB6194" w14:textId="66DB401B" w:rsidR="00C977D7" w:rsidRDefault="00C977D7" w:rsidP="00453E24">
      <w:pPr>
        <w:pStyle w:val="CETBodytext"/>
        <w:rPr>
          <w:i/>
          <w:iCs/>
          <w:lang w:val="en-GB"/>
        </w:rPr>
      </w:pPr>
    </w:p>
    <w:p w14:paraId="043747BE" w14:textId="57C80822" w:rsidR="00C977D7" w:rsidRDefault="00C977D7" w:rsidP="00453E24">
      <w:pPr>
        <w:pStyle w:val="CETBodytext"/>
        <w:rPr>
          <w:i/>
          <w:iCs/>
          <w:lang w:val="en-GB"/>
        </w:rPr>
      </w:pPr>
    </w:p>
    <w:p w14:paraId="2FECDE76" w14:textId="2D1F341A" w:rsidR="00C977D7" w:rsidRDefault="00C977D7" w:rsidP="00453E24">
      <w:pPr>
        <w:pStyle w:val="CETBodytext"/>
        <w:rPr>
          <w:i/>
          <w:iCs/>
          <w:lang w:val="en-GB"/>
        </w:rPr>
      </w:pPr>
    </w:p>
    <w:p w14:paraId="211E9E1E" w14:textId="2EA4A21E" w:rsidR="00C977D7" w:rsidRDefault="00C977D7" w:rsidP="00453E24">
      <w:pPr>
        <w:pStyle w:val="CETBodytext"/>
        <w:rPr>
          <w:i/>
          <w:iCs/>
          <w:lang w:val="en-GB"/>
        </w:rPr>
      </w:pPr>
    </w:p>
    <w:p w14:paraId="7CEC1BBB" w14:textId="4A113010" w:rsidR="00C977D7" w:rsidRDefault="00C977D7" w:rsidP="00453E24">
      <w:pPr>
        <w:pStyle w:val="CETBodytext"/>
        <w:rPr>
          <w:i/>
          <w:iCs/>
          <w:lang w:val="en-GB"/>
        </w:rPr>
      </w:pPr>
      <w:r w:rsidRPr="00200BDA">
        <w:rPr>
          <w:i/>
          <w:iCs/>
          <w:sz w:val="16"/>
          <w:szCs w:val="18"/>
          <w:vertAlign w:val="superscript"/>
          <w:lang w:val="en-GB"/>
        </w:rPr>
        <w:t>1</w:t>
      </w:r>
      <w:r w:rsidRPr="00200BDA">
        <w:rPr>
          <w:i/>
          <w:iCs/>
          <w:sz w:val="16"/>
          <w:szCs w:val="18"/>
          <w:lang w:val="en-GB"/>
        </w:rPr>
        <w:t xml:space="preserve">Non induced concentration; </w:t>
      </w:r>
      <w:r w:rsidRPr="00200BDA">
        <w:rPr>
          <w:i/>
          <w:iCs/>
          <w:sz w:val="16"/>
          <w:szCs w:val="18"/>
          <w:vertAlign w:val="superscript"/>
          <w:lang w:val="en-GB"/>
        </w:rPr>
        <w:t>2</w:t>
      </w:r>
      <w:r w:rsidRPr="00200BDA">
        <w:rPr>
          <w:i/>
          <w:iCs/>
          <w:sz w:val="16"/>
          <w:szCs w:val="18"/>
          <w:lang w:val="en-GB"/>
        </w:rPr>
        <w:t xml:space="preserve">Average Non induced concentration; </w:t>
      </w:r>
      <w:r w:rsidRPr="00200BDA">
        <w:rPr>
          <w:i/>
          <w:iCs/>
          <w:sz w:val="16"/>
          <w:szCs w:val="18"/>
          <w:vertAlign w:val="superscript"/>
          <w:lang w:val="en-GB"/>
        </w:rPr>
        <w:t>3</w:t>
      </w:r>
      <w:r w:rsidRPr="00200BDA">
        <w:rPr>
          <w:i/>
          <w:iCs/>
          <w:sz w:val="16"/>
          <w:szCs w:val="18"/>
          <w:lang w:val="en-GB"/>
        </w:rPr>
        <w:t xml:space="preserve"> Induced concentrations; </w:t>
      </w:r>
      <w:r w:rsidRPr="00200BDA">
        <w:rPr>
          <w:i/>
          <w:iCs/>
          <w:sz w:val="16"/>
          <w:szCs w:val="18"/>
          <w:vertAlign w:val="superscript"/>
          <w:lang w:val="en-GB"/>
        </w:rPr>
        <w:t>4</w:t>
      </w:r>
      <w:r w:rsidRPr="00200BDA">
        <w:rPr>
          <w:i/>
          <w:iCs/>
          <w:sz w:val="16"/>
          <w:szCs w:val="18"/>
          <w:lang w:val="en-GB"/>
        </w:rPr>
        <w:t xml:space="preserve"> Average Induced concentration</w:t>
      </w:r>
    </w:p>
    <w:p w14:paraId="1A4FEFEA" w14:textId="77777777" w:rsidR="00C977D7" w:rsidRPr="00200BDA" w:rsidRDefault="00C977D7" w:rsidP="00453E24">
      <w:pPr>
        <w:pStyle w:val="CETBodytext"/>
        <w:rPr>
          <w:i/>
          <w:iCs/>
          <w:lang w:val="en-GB"/>
        </w:rPr>
      </w:pPr>
    </w:p>
    <w:p w14:paraId="5436D977" w14:textId="2D81BD4F" w:rsidR="00453E24" w:rsidRDefault="004A7B63" w:rsidP="00715481">
      <w:pPr>
        <w:pStyle w:val="CETBodytext"/>
        <w:rPr>
          <w:lang w:val="en-GB"/>
        </w:rPr>
      </w:pPr>
      <w:r w:rsidRPr="00200BDA">
        <w:rPr>
          <w:lang w:val="en-GB"/>
        </w:rPr>
        <w:t xml:space="preserve">As Table 1 shows, </w:t>
      </w:r>
      <w:r w:rsidR="006A0CBA" w:rsidRPr="00200BDA">
        <w:rPr>
          <w:lang w:val="en-GB"/>
        </w:rPr>
        <w:t>at 350 rpm there is a higher production of protein than at 220 rpm, showing that the aeration and mixing process is more effective</w:t>
      </w:r>
      <w:r w:rsidR="00B377D1" w:rsidRPr="00200BDA">
        <w:rPr>
          <w:lang w:val="en-GB"/>
        </w:rPr>
        <w:t>, managing to better supply the respiratory</w:t>
      </w:r>
      <w:r w:rsidR="00AA6024">
        <w:rPr>
          <w:lang w:val="en-GB"/>
        </w:rPr>
        <w:t xml:space="preserve"> and energy</w:t>
      </w:r>
      <w:r w:rsidR="00B377D1" w:rsidRPr="00200BDA">
        <w:rPr>
          <w:lang w:val="en-GB"/>
        </w:rPr>
        <w:t xml:space="preserve"> demand required for the metabolic processes of  </w:t>
      </w:r>
      <w:r w:rsidR="00B377D1" w:rsidRPr="00200BDA">
        <w:rPr>
          <w:i/>
          <w:iCs/>
          <w:lang w:val="en-GB"/>
        </w:rPr>
        <w:t>E. coli</w:t>
      </w:r>
      <w:r w:rsidR="00442F96">
        <w:rPr>
          <w:lang w:val="en-GB"/>
        </w:rPr>
        <w:t xml:space="preserve">, biosynthetic processes require large dell energy investments therefore oxidative metabolism should not be limited to supply these needs. </w:t>
      </w:r>
      <w:r w:rsidR="00715481">
        <w:rPr>
          <w:lang w:val="en-GB"/>
        </w:rPr>
        <w:t xml:space="preserve">Tan et al., (2018) analyzed the influence of agitation speed on production of a protein with a recombinant </w:t>
      </w:r>
      <w:r w:rsidR="00715481" w:rsidRPr="00715481">
        <w:rPr>
          <w:i/>
          <w:iCs/>
          <w:lang w:val="en-GB"/>
        </w:rPr>
        <w:t>E.coli</w:t>
      </w:r>
      <w:r w:rsidR="00715481">
        <w:rPr>
          <w:i/>
          <w:iCs/>
          <w:lang w:val="en-GB"/>
        </w:rPr>
        <w:t xml:space="preserve"> DE3, </w:t>
      </w:r>
      <w:r w:rsidR="00715481">
        <w:rPr>
          <w:lang w:val="en-GB"/>
        </w:rPr>
        <w:t xml:space="preserve">they </w:t>
      </w:r>
      <w:r w:rsidR="00AA6024">
        <w:rPr>
          <w:lang w:val="en-GB"/>
        </w:rPr>
        <w:t>observed</w:t>
      </w:r>
      <w:r w:rsidR="00715481">
        <w:rPr>
          <w:lang w:val="en-GB"/>
        </w:rPr>
        <w:t xml:space="preserve"> th</w:t>
      </w:r>
      <w:r w:rsidR="00AA6024">
        <w:rPr>
          <w:lang w:val="en-GB"/>
        </w:rPr>
        <w:t>e</w:t>
      </w:r>
      <w:r w:rsidR="00715481">
        <w:rPr>
          <w:lang w:val="en-GB"/>
        </w:rPr>
        <w:t xml:space="preserve"> highest </w:t>
      </w:r>
      <w:r w:rsidR="00AA6024">
        <w:rPr>
          <w:lang w:val="en-GB"/>
        </w:rPr>
        <w:t>g</w:t>
      </w:r>
      <w:r w:rsidR="00715481">
        <w:rPr>
          <w:lang w:val="en-GB"/>
        </w:rPr>
        <w:t>rowth and produc</w:t>
      </w:r>
      <w:r w:rsidR="00AA6024">
        <w:rPr>
          <w:lang w:val="en-GB"/>
        </w:rPr>
        <w:t xml:space="preserve">tion were at </w:t>
      </w:r>
      <w:r w:rsidR="006B7970">
        <w:rPr>
          <w:lang w:val="en-GB"/>
        </w:rPr>
        <w:t xml:space="preserve">an </w:t>
      </w:r>
      <w:r w:rsidR="00AA6024">
        <w:rPr>
          <w:lang w:val="en-GB"/>
        </w:rPr>
        <w:t>agitation speed of 1000 rpm compared whit less speeds</w:t>
      </w:r>
      <w:r w:rsidR="00442F96">
        <w:rPr>
          <w:lang w:val="en-GB"/>
        </w:rPr>
        <w:t>.</w:t>
      </w:r>
    </w:p>
    <w:p w14:paraId="39137EB4" w14:textId="2E7BB658" w:rsidR="004A5644" w:rsidRDefault="004A5644" w:rsidP="00715481">
      <w:pPr>
        <w:pStyle w:val="CETBodytext"/>
      </w:pPr>
    </w:p>
    <w:p w14:paraId="3CAF5B4C" w14:textId="71B041B1" w:rsidR="00A5550F" w:rsidRDefault="00C977D7" w:rsidP="00A5550F">
      <w:pPr>
        <w:pStyle w:val="CETBodytext"/>
      </w:pPr>
      <w:r>
        <w:t xml:space="preserve">Experimental production of the </w:t>
      </w:r>
      <w:r w:rsidRPr="00275997">
        <w:rPr>
          <w:rFonts w:eastAsia="Arial" w:cs="Arial"/>
          <w:szCs w:val="18"/>
        </w:rPr>
        <w:t>Tucan Taq®</w:t>
      </w:r>
      <w:r>
        <w:rPr>
          <w:rFonts w:eastAsia="Arial" w:cs="Arial"/>
          <w:szCs w:val="18"/>
        </w:rPr>
        <w:t xml:space="preserve"> was carried out at 210rpm with orbital agitation with an average final enzyme production of 1633 </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Pr>
          <w:rFonts w:eastAsia="Arial" w:cs="Arial"/>
          <w:color w:val="000000"/>
          <w:szCs w:val="18"/>
          <w:lang w:val="en-GB"/>
        </w:rPr>
        <w:t xml:space="preserve"> (data provided by Corpo</w:t>
      </w:r>
      <w:r w:rsidR="009C7BA4">
        <w:rPr>
          <w:rFonts w:eastAsia="Arial" w:cs="Arial"/>
          <w:color w:val="000000"/>
          <w:szCs w:val="18"/>
          <w:lang w:val="en-GB"/>
        </w:rPr>
        <w:t>G</w:t>
      </w:r>
      <w:r>
        <w:rPr>
          <w:rFonts w:eastAsia="Arial" w:cs="Arial"/>
          <w:color w:val="000000"/>
          <w:szCs w:val="18"/>
          <w:lang w:val="en-GB"/>
        </w:rPr>
        <w:t>en). In relation to the results in Table 1 and T</w:t>
      </w:r>
      <w:r w:rsidR="00A5550F">
        <w:rPr>
          <w:rFonts w:eastAsia="Arial" w:cs="Arial"/>
          <w:color w:val="000000"/>
          <w:szCs w:val="18"/>
          <w:lang w:val="en-GB"/>
        </w:rPr>
        <w:t>able 2, bioreactor production with a mechanical stirring system at 350 rpm improved by 82% compared to flask-level production.</w:t>
      </w:r>
      <w:r w:rsidR="00E43F9B">
        <w:rPr>
          <w:rFonts w:eastAsia="Arial" w:cs="Arial"/>
          <w:color w:val="000000"/>
          <w:szCs w:val="18"/>
          <w:lang w:val="en-GB"/>
        </w:rPr>
        <w:t xml:space="preserve"> H</w:t>
      </w:r>
      <w:r w:rsidR="00E43F9B" w:rsidRPr="00E43F9B">
        <w:rPr>
          <w:rFonts w:eastAsia="Arial" w:cs="Arial"/>
          <w:color w:val="000000"/>
          <w:szCs w:val="18"/>
          <w:lang w:val="en-GB"/>
        </w:rPr>
        <w:t>owever</w:t>
      </w:r>
      <w:r w:rsidR="00E43F9B">
        <w:rPr>
          <w:rFonts w:eastAsia="Arial" w:cs="Arial"/>
          <w:color w:val="000000"/>
          <w:szCs w:val="18"/>
          <w:lang w:val="en-GB"/>
        </w:rPr>
        <w:t>,</w:t>
      </w:r>
      <w:r w:rsidR="00E43F9B" w:rsidRPr="00E43F9B">
        <w:rPr>
          <w:rFonts w:eastAsia="Arial" w:cs="Arial"/>
          <w:color w:val="000000"/>
          <w:szCs w:val="18"/>
          <w:lang w:val="en-GB"/>
        </w:rPr>
        <w:t xml:space="preserve"> at an agitation </w:t>
      </w:r>
      <w:r w:rsidR="00E43F9B">
        <w:rPr>
          <w:rFonts w:eastAsia="Arial" w:cs="Arial"/>
          <w:color w:val="000000"/>
          <w:szCs w:val="18"/>
          <w:lang w:val="en-GB"/>
        </w:rPr>
        <w:t>speed</w:t>
      </w:r>
      <w:r w:rsidR="00E43F9B" w:rsidRPr="00E43F9B">
        <w:rPr>
          <w:rFonts w:eastAsia="Arial" w:cs="Arial"/>
          <w:color w:val="000000"/>
          <w:szCs w:val="18"/>
          <w:lang w:val="en-GB"/>
        </w:rPr>
        <w:t xml:space="preserve"> of 250 rpm the production was lower, which may imply deficiencies in the transfer of oxygen and mass within the system</w:t>
      </w:r>
      <w:r w:rsidR="00E43F9B">
        <w:rPr>
          <w:rFonts w:eastAsia="Arial" w:cs="Arial"/>
          <w:color w:val="000000"/>
          <w:szCs w:val="18"/>
          <w:lang w:val="en-GB"/>
        </w:rPr>
        <w:t>.</w:t>
      </w:r>
      <w:r w:rsidR="00A5550F" w:rsidRPr="00A5550F">
        <w:t xml:space="preserve"> </w:t>
      </w:r>
      <w:r w:rsidR="00A5550F">
        <w:t>Higher efficient oxygen transfer includes an improvement in the yields of biomass product</w:t>
      </w:r>
      <w:r w:rsidR="00E43F9B">
        <w:t>,</w:t>
      </w:r>
      <w:r w:rsidR="00A5550F">
        <w:t xml:space="preserve"> especially when talking about the expression of metabolites associated with growth (Falco et al., 2014).</w:t>
      </w:r>
    </w:p>
    <w:p w14:paraId="7DD47362" w14:textId="5A5B6545" w:rsidR="00A5550F" w:rsidRDefault="00A5550F" w:rsidP="00A5550F">
      <w:pPr>
        <w:pStyle w:val="CETBodytext"/>
      </w:pPr>
    </w:p>
    <w:p w14:paraId="6E269AF0" w14:textId="35F24324" w:rsidR="005E617F" w:rsidRPr="0027300F" w:rsidRDefault="005E617F" w:rsidP="0027300F">
      <w:pPr>
        <w:pStyle w:val="CETBodytext"/>
        <w:jc w:val="left"/>
        <w:rPr>
          <w:i/>
          <w:iCs/>
        </w:rPr>
      </w:pPr>
      <w:r w:rsidRPr="0027300F">
        <w:rPr>
          <w:i/>
          <w:iCs/>
        </w:rPr>
        <w:lastRenderedPageBreak/>
        <w:t>Table 2</w:t>
      </w:r>
      <w:r w:rsidR="00A5550F" w:rsidRPr="0027300F">
        <w:rPr>
          <w:i/>
          <w:iCs/>
        </w:rPr>
        <w:t>: Protein production at Flask and Bioreactor level</w:t>
      </w:r>
    </w:p>
    <w:tbl>
      <w:tblPr>
        <w:tblpPr w:leftFromText="141" w:rightFromText="141" w:vertAnchor="text" w:horzAnchor="margin" w:tblpY="98"/>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47"/>
        <w:gridCol w:w="1027"/>
        <w:gridCol w:w="983"/>
        <w:gridCol w:w="957"/>
      </w:tblGrid>
      <w:tr w:rsidR="0027300F" w:rsidRPr="00200BDA" w14:paraId="3C5C3937" w14:textId="77777777" w:rsidTr="0027300F">
        <w:tc>
          <w:tcPr>
            <w:tcW w:w="1047" w:type="dxa"/>
            <w:tcBorders>
              <w:top w:val="single" w:sz="12" w:space="0" w:color="008000"/>
              <w:bottom w:val="single" w:sz="6" w:space="0" w:color="008000"/>
            </w:tcBorders>
            <w:shd w:val="clear" w:color="auto" w:fill="FFFFFF"/>
          </w:tcPr>
          <w:p w14:paraId="329239D6" w14:textId="77777777" w:rsidR="0027300F" w:rsidRPr="00200BDA" w:rsidRDefault="0027300F" w:rsidP="0027300F">
            <w:pPr>
              <w:pStyle w:val="CETBodytext"/>
              <w:rPr>
                <w:lang w:val="en-GB"/>
              </w:rPr>
            </w:pPr>
            <w:r>
              <w:rPr>
                <w:lang w:val="en-GB"/>
              </w:rPr>
              <w:t>Scale</w:t>
            </w:r>
            <w:r w:rsidRPr="00200BDA">
              <w:rPr>
                <w:lang w:val="en-GB"/>
              </w:rPr>
              <w:t xml:space="preserve"> </w:t>
            </w:r>
          </w:p>
        </w:tc>
        <w:tc>
          <w:tcPr>
            <w:tcW w:w="1027" w:type="dxa"/>
            <w:tcBorders>
              <w:top w:val="single" w:sz="12" w:space="0" w:color="008000"/>
              <w:bottom w:val="single" w:sz="6" w:space="0" w:color="008000"/>
            </w:tcBorders>
            <w:shd w:val="clear" w:color="auto" w:fill="FFFFFF"/>
          </w:tcPr>
          <w:p w14:paraId="2EC1A860" w14:textId="77777777" w:rsidR="0027300F" w:rsidRPr="00200BDA" w:rsidRDefault="0027300F" w:rsidP="0027300F">
            <w:pPr>
              <w:pStyle w:val="CETBodytext"/>
              <w:rPr>
                <w:lang w:val="en-GB"/>
              </w:rPr>
            </w:pPr>
            <w:r w:rsidRPr="00200BDA">
              <w:rPr>
                <w:lang w:val="en-GB"/>
              </w:rPr>
              <w:t>Agitation (rpm)</w:t>
            </w:r>
          </w:p>
        </w:tc>
        <w:tc>
          <w:tcPr>
            <w:tcW w:w="983" w:type="dxa"/>
            <w:tcBorders>
              <w:top w:val="single" w:sz="12" w:space="0" w:color="008000"/>
              <w:bottom w:val="single" w:sz="6" w:space="0" w:color="008000"/>
            </w:tcBorders>
            <w:shd w:val="clear" w:color="auto" w:fill="FFFFFF"/>
          </w:tcPr>
          <w:p w14:paraId="5665385A" w14:textId="77777777" w:rsidR="0027300F" w:rsidRPr="00200BDA" w:rsidRDefault="0027300F" w:rsidP="0027300F">
            <w:pPr>
              <w:pStyle w:val="CETBodytext"/>
              <w:rPr>
                <w:rFonts w:ascii="Symbol" w:eastAsia="Arial" w:hAnsi="Symbol" w:cs="Arial"/>
                <w:color w:val="000000"/>
                <w:szCs w:val="18"/>
                <w:highlight w:val="white"/>
                <w:lang w:val="en-GB"/>
              </w:rPr>
            </w:pPr>
            <w:r>
              <w:rPr>
                <w:lang w:val="en-GB"/>
              </w:rPr>
              <w:t>APE</w:t>
            </w:r>
            <w:r w:rsidRPr="00200BDA">
              <w:rPr>
                <w:vertAlign w:val="superscript"/>
                <w:lang w:val="en-GB"/>
              </w:rPr>
              <w:t>1</w:t>
            </w:r>
            <w:r w:rsidRPr="00200BDA">
              <w:rPr>
                <w:rFonts w:ascii="Symbol" w:eastAsia="Arial" w:hAnsi="Symbol" w:cs="Arial"/>
                <w:color w:val="000000"/>
                <w:szCs w:val="18"/>
                <w:highlight w:val="white"/>
                <w:lang w:val="en-GB"/>
              </w:rPr>
              <w:t></w:t>
            </w:r>
          </w:p>
          <w:p w14:paraId="042FA77F" w14:textId="77777777" w:rsidR="0027300F" w:rsidRPr="00200BDA" w:rsidRDefault="0027300F" w:rsidP="0027300F">
            <w:pPr>
              <w:pStyle w:val="CETBodytext"/>
              <w:rPr>
                <w:lang w:val="en-GB"/>
              </w:rPr>
            </w:pPr>
            <w:r w:rsidRPr="00200BDA">
              <w:rPr>
                <w:rFonts w:ascii="Symbol" w:eastAsia="Arial" w:hAnsi="Symbol" w:cs="Arial"/>
                <w:color w:val="000000"/>
                <w:szCs w:val="18"/>
                <w:highlight w:val="white"/>
                <w:lang w:val="en-GB"/>
              </w:rPr>
              <w:t></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sidRPr="00200BDA">
              <w:rPr>
                <w:rFonts w:eastAsia="Arial" w:cs="Arial"/>
                <w:color w:val="000000"/>
                <w:szCs w:val="18"/>
                <w:lang w:val="en-GB"/>
              </w:rPr>
              <w:t>)</w:t>
            </w:r>
          </w:p>
        </w:tc>
        <w:tc>
          <w:tcPr>
            <w:tcW w:w="957" w:type="dxa"/>
            <w:tcBorders>
              <w:top w:val="single" w:sz="12" w:space="0" w:color="008000"/>
              <w:bottom w:val="single" w:sz="6" w:space="0" w:color="008000"/>
            </w:tcBorders>
            <w:shd w:val="clear" w:color="auto" w:fill="FFFFFF"/>
          </w:tcPr>
          <w:p w14:paraId="33395B99" w14:textId="77777777" w:rsidR="0027300F" w:rsidRPr="00200BDA" w:rsidRDefault="0027300F" w:rsidP="0027300F">
            <w:pPr>
              <w:pStyle w:val="CETBodytext"/>
              <w:ind w:right="-1"/>
              <w:rPr>
                <w:vertAlign w:val="superscript"/>
                <w:lang w:val="en-GB"/>
              </w:rPr>
            </w:pPr>
            <w:r>
              <w:rPr>
                <w:lang w:val="en-GB"/>
              </w:rPr>
              <w:t>PIP</w:t>
            </w:r>
            <w:r>
              <w:rPr>
                <w:vertAlign w:val="superscript"/>
                <w:lang w:val="en-GB"/>
              </w:rPr>
              <w:t>2</w:t>
            </w:r>
          </w:p>
          <w:p w14:paraId="3A7BD9B8" w14:textId="77777777" w:rsidR="0027300F" w:rsidRPr="00200BDA" w:rsidRDefault="0027300F" w:rsidP="0027300F">
            <w:pPr>
              <w:pStyle w:val="CETBodytext"/>
              <w:ind w:right="-1"/>
              <w:rPr>
                <w:lang w:val="en-GB"/>
              </w:rPr>
            </w:pPr>
            <w:r w:rsidRPr="00200BDA">
              <w:rPr>
                <w:rFonts w:ascii="Symbol" w:eastAsia="Arial" w:hAnsi="Symbol" w:cs="Arial"/>
                <w:color w:val="000000"/>
                <w:szCs w:val="18"/>
                <w:highlight w:val="white"/>
                <w:lang w:val="en-GB"/>
              </w:rPr>
              <w:t></w:t>
            </w:r>
            <w:r w:rsidRPr="00200BDA">
              <w:rPr>
                <w:rFonts w:ascii="Symbol" w:eastAsia="Arial" w:hAnsi="Symbol" w:cs="Arial"/>
                <w:color w:val="000000"/>
                <w:szCs w:val="18"/>
                <w:highlight w:val="white"/>
                <w:lang w:val="en-GB"/>
              </w:rPr>
              <w:t></w:t>
            </w:r>
            <w:r w:rsidRPr="00200BDA">
              <w:rPr>
                <w:rFonts w:eastAsia="Arial" w:cs="Arial"/>
                <w:color w:val="000000"/>
                <w:szCs w:val="18"/>
                <w:highlight w:val="white"/>
                <w:lang w:val="en-GB"/>
              </w:rPr>
              <w:t>g/mL</w:t>
            </w:r>
            <w:r w:rsidRPr="00200BDA">
              <w:rPr>
                <w:rFonts w:eastAsia="Arial" w:cs="Arial"/>
                <w:color w:val="000000"/>
                <w:szCs w:val="18"/>
                <w:lang w:val="en-GB"/>
              </w:rPr>
              <w:t>)</w:t>
            </w:r>
          </w:p>
        </w:tc>
      </w:tr>
      <w:tr w:rsidR="0027300F" w:rsidRPr="00200BDA" w14:paraId="1DCFBFBE" w14:textId="77777777" w:rsidTr="0027300F">
        <w:tc>
          <w:tcPr>
            <w:tcW w:w="1047" w:type="dxa"/>
            <w:shd w:val="clear" w:color="auto" w:fill="FFFFFF"/>
          </w:tcPr>
          <w:p w14:paraId="390BD6DC" w14:textId="77777777" w:rsidR="0027300F" w:rsidRPr="00200BDA" w:rsidRDefault="0027300F" w:rsidP="0027300F">
            <w:pPr>
              <w:pStyle w:val="CETBodytext"/>
              <w:rPr>
                <w:lang w:val="en-GB"/>
              </w:rPr>
            </w:pPr>
            <w:r>
              <w:rPr>
                <w:lang w:val="en-GB"/>
              </w:rPr>
              <w:t>Flask</w:t>
            </w:r>
          </w:p>
        </w:tc>
        <w:tc>
          <w:tcPr>
            <w:tcW w:w="1027" w:type="dxa"/>
            <w:shd w:val="clear" w:color="auto" w:fill="FFFFFF"/>
          </w:tcPr>
          <w:p w14:paraId="163E94A2" w14:textId="77777777" w:rsidR="0027300F" w:rsidRPr="00200BDA" w:rsidRDefault="0027300F" w:rsidP="0027300F">
            <w:pPr>
              <w:pStyle w:val="CETBodytext"/>
              <w:rPr>
                <w:lang w:val="en-GB"/>
              </w:rPr>
            </w:pPr>
            <w:r>
              <w:rPr>
                <w:lang w:val="en-GB"/>
              </w:rPr>
              <w:t>210 (orbital)</w:t>
            </w:r>
          </w:p>
        </w:tc>
        <w:tc>
          <w:tcPr>
            <w:tcW w:w="983" w:type="dxa"/>
            <w:shd w:val="clear" w:color="auto" w:fill="FFFFFF"/>
          </w:tcPr>
          <w:p w14:paraId="79D8D51A" w14:textId="77777777" w:rsidR="0027300F" w:rsidRPr="00200BDA" w:rsidRDefault="0027300F" w:rsidP="0027300F">
            <w:pPr>
              <w:pStyle w:val="CETBodytext"/>
              <w:rPr>
                <w:lang w:val="en-GB"/>
              </w:rPr>
            </w:pPr>
            <w:r>
              <w:rPr>
                <w:lang w:val="en-GB"/>
              </w:rPr>
              <w:t>1633</w:t>
            </w:r>
          </w:p>
        </w:tc>
        <w:tc>
          <w:tcPr>
            <w:tcW w:w="957" w:type="dxa"/>
            <w:shd w:val="clear" w:color="auto" w:fill="FFFFFF"/>
          </w:tcPr>
          <w:p w14:paraId="0E7446E0" w14:textId="77777777" w:rsidR="0027300F" w:rsidRPr="00200BDA" w:rsidRDefault="0027300F" w:rsidP="0027300F">
            <w:pPr>
              <w:pStyle w:val="CETBodytext"/>
              <w:ind w:right="-1"/>
              <w:rPr>
                <w:rFonts w:cs="Arial"/>
                <w:szCs w:val="18"/>
                <w:lang w:val="en-GB"/>
              </w:rPr>
            </w:pPr>
            <w:r>
              <w:rPr>
                <w:rFonts w:cs="Arial"/>
                <w:szCs w:val="18"/>
                <w:lang w:val="en-GB"/>
              </w:rPr>
              <w:t xml:space="preserve"> -</w:t>
            </w:r>
          </w:p>
        </w:tc>
      </w:tr>
      <w:tr w:rsidR="0027300F" w:rsidRPr="00200BDA" w14:paraId="0CDD94BC" w14:textId="77777777" w:rsidTr="0027300F">
        <w:tc>
          <w:tcPr>
            <w:tcW w:w="1047" w:type="dxa"/>
            <w:shd w:val="clear" w:color="auto" w:fill="FFFFFF"/>
          </w:tcPr>
          <w:p w14:paraId="45FB90A0" w14:textId="77777777" w:rsidR="0027300F" w:rsidRPr="00200BDA" w:rsidRDefault="0027300F" w:rsidP="0027300F">
            <w:pPr>
              <w:pStyle w:val="CETBodytext"/>
              <w:ind w:right="-1"/>
              <w:rPr>
                <w:rFonts w:cs="Arial"/>
                <w:szCs w:val="18"/>
                <w:lang w:val="en-GB"/>
              </w:rPr>
            </w:pPr>
            <w:r>
              <w:rPr>
                <w:rFonts w:cs="Arial"/>
                <w:szCs w:val="18"/>
                <w:lang w:val="en-GB"/>
              </w:rPr>
              <w:t>Bioreactor</w:t>
            </w:r>
          </w:p>
        </w:tc>
        <w:tc>
          <w:tcPr>
            <w:tcW w:w="1027" w:type="dxa"/>
            <w:shd w:val="clear" w:color="auto" w:fill="FFFFFF"/>
          </w:tcPr>
          <w:p w14:paraId="5EE8113B" w14:textId="77777777" w:rsidR="0027300F" w:rsidRPr="00200BDA" w:rsidRDefault="0027300F" w:rsidP="0027300F">
            <w:pPr>
              <w:pStyle w:val="CETBodytext"/>
              <w:ind w:right="-1"/>
              <w:rPr>
                <w:rFonts w:cs="Arial"/>
                <w:szCs w:val="18"/>
                <w:lang w:val="en-GB"/>
              </w:rPr>
            </w:pPr>
            <w:r>
              <w:rPr>
                <w:rFonts w:cs="Arial"/>
                <w:szCs w:val="18"/>
                <w:lang w:val="en-GB"/>
              </w:rPr>
              <w:t>350</w:t>
            </w:r>
          </w:p>
        </w:tc>
        <w:tc>
          <w:tcPr>
            <w:tcW w:w="983" w:type="dxa"/>
            <w:shd w:val="clear" w:color="auto" w:fill="FFFFFF"/>
          </w:tcPr>
          <w:p w14:paraId="07E9ECBD" w14:textId="77777777" w:rsidR="0027300F" w:rsidRPr="00200BDA" w:rsidRDefault="0027300F" w:rsidP="0027300F">
            <w:pPr>
              <w:pStyle w:val="CETBodytext"/>
              <w:ind w:right="-1"/>
              <w:rPr>
                <w:rFonts w:cs="Arial"/>
                <w:szCs w:val="18"/>
                <w:lang w:val="en-GB"/>
              </w:rPr>
            </w:pPr>
            <w:r>
              <w:rPr>
                <w:rFonts w:cs="Arial"/>
                <w:szCs w:val="18"/>
                <w:lang w:val="en-GB"/>
              </w:rPr>
              <w:t>2973.5</w:t>
            </w:r>
          </w:p>
        </w:tc>
        <w:tc>
          <w:tcPr>
            <w:tcW w:w="957" w:type="dxa"/>
            <w:shd w:val="clear" w:color="auto" w:fill="FFFFFF"/>
          </w:tcPr>
          <w:p w14:paraId="342BBC25" w14:textId="77777777" w:rsidR="0027300F" w:rsidRPr="00200BDA" w:rsidRDefault="0027300F" w:rsidP="0027300F">
            <w:pPr>
              <w:pStyle w:val="CETBodytext"/>
              <w:ind w:right="-1"/>
              <w:rPr>
                <w:rFonts w:cs="Arial"/>
                <w:szCs w:val="18"/>
                <w:lang w:val="en-GB"/>
              </w:rPr>
            </w:pPr>
            <w:r>
              <w:rPr>
                <w:rFonts w:cs="Arial"/>
                <w:szCs w:val="18"/>
                <w:lang w:val="en-GB"/>
              </w:rPr>
              <w:t>82.08</w:t>
            </w:r>
          </w:p>
        </w:tc>
      </w:tr>
      <w:tr w:rsidR="0027300F" w:rsidRPr="00200BDA" w14:paraId="1B88614F" w14:textId="77777777" w:rsidTr="0027300F">
        <w:tc>
          <w:tcPr>
            <w:tcW w:w="1047" w:type="dxa"/>
            <w:shd w:val="clear" w:color="auto" w:fill="FFFFFF"/>
          </w:tcPr>
          <w:p w14:paraId="2B9FBA1A" w14:textId="77777777" w:rsidR="0027300F" w:rsidRPr="00200BDA" w:rsidRDefault="0027300F" w:rsidP="0027300F">
            <w:pPr>
              <w:pStyle w:val="CETBodytext"/>
              <w:ind w:right="-1"/>
              <w:rPr>
                <w:rFonts w:cs="Arial"/>
                <w:szCs w:val="18"/>
                <w:lang w:val="en-GB"/>
              </w:rPr>
            </w:pPr>
          </w:p>
        </w:tc>
        <w:tc>
          <w:tcPr>
            <w:tcW w:w="1027" w:type="dxa"/>
            <w:shd w:val="clear" w:color="auto" w:fill="FFFFFF"/>
          </w:tcPr>
          <w:p w14:paraId="29B34E10" w14:textId="77777777" w:rsidR="0027300F" w:rsidRPr="00200BDA" w:rsidRDefault="0027300F" w:rsidP="0027300F">
            <w:pPr>
              <w:pStyle w:val="CETBodytext"/>
              <w:ind w:right="-1"/>
              <w:rPr>
                <w:rFonts w:cs="Arial"/>
                <w:szCs w:val="18"/>
                <w:lang w:val="en-GB"/>
              </w:rPr>
            </w:pPr>
            <w:r w:rsidRPr="00200BDA">
              <w:rPr>
                <w:rFonts w:cs="Arial"/>
                <w:szCs w:val="18"/>
                <w:lang w:val="en-GB"/>
              </w:rPr>
              <w:t>2</w:t>
            </w:r>
            <w:r>
              <w:rPr>
                <w:rFonts w:cs="Arial"/>
                <w:szCs w:val="18"/>
                <w:lang w:val="en-GB"/>
              </w:rPr>
              <w:t>20</w:t>
            </w:r>
          </w:p>
        </w:tc>
        <w:tc>
          <w:tcPr>
            <w:tcW w:w="983" w:type="dxa"/>
            <w:shd w:val="clear" w:color="auto" w:fill="FFFFFF"/>
          </w:tcPr>
          <w:p w14:paraId="5EC694C0" w14:textId="77777777" w:rsidR="0027300F" w:rsidRPr="00200BDA" w:rsidRDefault="0027300F" w:rsidP="0027300F">
            <w:pPr>
              <w:pStyle w:val="CETBodytext"/>
              <w:ind w:right="-1"/>
              <w:rPr>
                <w:rFonts w:cs="Arial"/>
                <w:szCs w:val="18"/>
                <w:lang w:val="en-GB"/>
              </w:rPr>
            </w:pPr>
            <w:r w:rsidRPr="00200BDA">
              <w:rPr>
                <w:rFonts w:cs="Arial"/>
                <w:szCs w:val="18"/>
                <w:lang w:val="en-GB"/>
              </w:rPr>
              <w:t>1</w:t>
            </w:r>
            <w:r>
              <w:rPr>
                <w:rFonts w:cs="Arial"/>
                <w:szCs w:val="18"/>
                <w:lang w:val="en-GB"/>
              </w:rPr>
              <w:t>465</w:t>
            </w:r>
            <w:r w:rsidRPr="00200BDA">
              <w:rPr>
                <w:rFonts w:cs="Arial"/>
                <w:szCs w:val="18"/>
                <w:lang w:val="en-GB"/>
              </w:rPr>
              <w:t>.</w:t>
            </w:r>
            <w:r>
              <w:rPr>
                <w:rFonts w:cs="Arial"/>
                <w:szCs w:val="18"/>
                <w:lang w:val="en-GB"/>
              </w:rPr>
              <w:t>8</w:t>
            </w:r>
          </w:p>
        </w:tc>
        <w:tc>
          <w:tcPr>
            <w:tcW w:w="957" w:type="dxa"/>
            <w:shd w:val="clear" w:color="auto" w:fill="FFFFFF"/>
          </w:tcPr>
          <w:p w14:paraId="03457AE5" w14:textId="77777777" w:rsidR="0027300F" w:rsidRPr="00200BDA" w:rsidRDefault="0027300F" w:rsidP="0027300F">
            <w:pPr>
              <w:pStyle w:val="CETBodytext"/>
              <w:ind w:right="-1"/>
              <w:rPr>
                <w:rFonts w:cs="Arial"/>
                <w:szCs w:val="18"/>
                <w:lang w:val="en-GB"/>
              </w:rPr>
            </w:pPr>
            <w:r>
              <w:rPr>
                <w:rFonts w:cs="Arial"/>
                <w:szCs w:val="18"/>
                <w:lang w:val="en-GB"/>
              </w:rPr>
              <w:t>-10.23</w:t>
            </w:r>
          </w:p>
        </w:tc>
      </w:tr>
    </w:tbl>
    <w:p w14:paraId="47489328" w14:textId="5A09DD6E" w:rsidR="00C977D7" w:rsidRDefault="00C977D7" w:rsidP="00EF6BC8">
      <w:pPr>
        <w:spacing w:line="240" w:lineRule="atLeast"/>
        <w:rPr>
          <w:rFonts w:eastAsia="Arial" w:cs="Arial"/>
          <w:b/>
          <w:i/>
          <w:iCs/>
          <w:color w:val="000000"/>
          <w:szCs w:val="18"/>
        </w:rPr>
      </w:pPr>
    </w:p>
    <w:p w14:paraId="4780AB9D" w14:textId="2E447A08" w:rsidR="0027300F" w:rsidRDefault="0027300F" w:rsidP="00EF6BC8">
      <w:pPr>
        <w:spacing w:line="240" w:lineRule="atLeast"/>
        <w:rPr>
          <w:rFonts w:eastAsia="Arial" w:cs="Arial"/>
          <w:b/>
          <w:i/>
          <w:iCs/>
          <w:color w:val="000000"/>
          <w:szCs w:val="18"/>
        </w:rPr>
      </w:pPr>
    </w:p>
    <w:p w14:paraId="140A5023" w14:textId="6AB11046" w:rsidR="0027300F" w:rsidRDefault="0027300F" w:rsidP="00EF6BC8">
      <w:pPr>
        <w:spacing w:line="240" w:lineRule="atLeast"/>
        <w:rPr>
          <w:rFonts w:eastAsia="Arial" w:cs="Arial"/>
          <w:b/>
          <w:i/>
          <w:iCs/>
          <w:color w:val="000000"/>
          <w:szCs w:val="18"/>
        </w:rPr>
      </w:pPr>
    </w:p>
    <w:p w14:paraId="25CA4B29" w14:textId="5CB235CA" w:rsidR="0027300F" w:rsidRDefault="0027300F" w:rsidP="00EF6BC8">
      <w:pPr>
        <w:spacing w:line="240" w:lineRule="atLeast"/>
        <w:rPr>
          <w:rFonts w:eastAsia="Arial" w:cs="Arial"/>
          <w:b/>
          <w:i/>
          <w:iCs/>
          <w:color w:val="000000"/>
          <w:szCs w:val="18"/>
        </w:rPr>
      </w:pPr>
    </w:p>
    <w:p w14:paraId="3BC674AE" w14:textId="4776F913" w:rsidR="0027300F" w:rsidRDefault="0027300F" w:rsidP="00EF6BC8">
      <w:pPr>
        <w:spacing w:line="240" w:lineRule="atLeast"/>
        <w:rPr>
          <w:rFonts w:eastAsia="Arial" w:cs="Arial"/>
          <w:b/>
          <w:i/>
          <w:iCs/>
          <w:color w:val="000000"/>
          <w:szCs w:val="18"/>
        </w:rPr>
      </w:pPr>
    </w:p>
    <w:p w14:paraId="3A3E1AC8" w14:textId="77777777" w:rsidR="0027300F" w:rsidRPr="0027300F" w:rsidRDefault="0027300F" w:rsidP="00EF6BC8">
      <w:pPr>
        <w:spacing w:line="240" w:lineRule="atLeast"/>
        <w:rPr>
          <w:rFonts w:eastAsia="Arial" w:cs="Arial"/>
          <w:b/>
          <w:i/>
          <w:iCs/>
          <w:color w:val="000000"/>
          <w:szCs w:val="18"/>
        </w:rPr>
      </w:pPr>
    </w:p>
    <w:p w14:paraId="3129FA99" w14:textId="77783F3B" w:rsidR="00C977D7" w:rsidRPr="00200BDA" w:rsidRDefault="00C977D7" w:rsidP="0027300F">
      <w:pPr>
        <w:pStyle w:val="CETBodytext"/>
        <w:rPr>
          <w:i/>
          <w:iCs/>
          <w:sz w:val="16"/>
          <w:szCs w:val="18"/>
          <w:lang w:val="en-GB"/>
        </w:rPr>
      </w:pPr>
      <w:r>
        <w:rPr>
          <w:i/>
          <w:iCs/>
          <w:sz w:val="16"/>
          <w:szCs w:val="18"/>
          <w:vertAlign w:val="superscript"/>
          <w:lang w:val="en-GB"/>
        </w:rPr>
        <w:t xml:space="preserve">  </w:t>
      </w:r>
      <w:r w:rsidRPr="00200BDA">
        <w:rPr>
          <w:i/>
          <w:iCs/>
          <w:sz w:val="16"/>
          <w:szCs w:val="18"/>
          <w:vertAlign w:val="superscript"/>
          <w:lang w:val="en-GB"/>
        </w:rPr>
        <w:t>1</w:t>
      </w:r>
      <w:r>
        <w:rPr>
          <w:i/>
          <w:iCs/>
          <w:sz w:val="16"/>
          <w:szCs w:val="18"/>
          <w:lang w:val="en-GB"/>
        </w:rPr>
        <w:t>Average Production Enzyme</w:t>
      </w:r>
      <w:r w:rsidRPr="00200BDA">
        <w:rPr>
          <w:i/>
          <w:iCs/>
          <w:sz w:val="16"/>
          <w:szCs w:val="18"/>
          <w:lang w:val="en-GB"/>
        </w:rPr>
        <w:t xml:space="preserve">; </w:t>
      </w:r>
      <w:r w:rsidRPr="00200BDA">
        <w:rPr>
          <w:i/>
          <w:iCs/>
          <w:sz w:val="16"/>
          <w:szCs w:val="18"/>
          <w:vertAlign w:val="superscript"/>
          <w:lang w:val="en-GB"/>
        </w:rPr>
        <w:t>2</w:t>
      </w:r>
      <w:r>
        <w:rPr>
          <w:i/>
          <w:iCs/>
          <w:sz w:val="16"/>
          <w:szCs w:val="18"/>
          <w:lang w:val="en-GB"/>
        </w:rPr>
        <w:t>Percentage Improvement Production compared whit flask level</w:t>
      </w:r>
    </w:p>
    <w:p w14:paraId="76D43321" w14:textId="45BA7897" w:rsidR="00DE3448" w:rsidRDefault="00DE3448" w:rsidP="00D34F29">
      <w:pPr>
        <w:pStyle w:val="CETBodytextItalic"/>
        <w:rPr>
          <w:i w:val="0"/>
          <w:iCs/>
          <w:shd w:val="clear" w:color="auto" w:fill="FFFFFF"/>
        </w:rPr>
      </w:pPr>
    </w:p>
    <w:p w14:paraId="1DB11F96" w14:textId="32FD4CDF" w:rsidR="00DE3448" w:rsidRPr="00D34F29" w:rsidRDefault="00DE3448" w:rsidP="00D34F29">
      <w:pPr>
        <w:pStyle w:val="CETBodytextItalic"/>
        <w:rPr>
          <w:i w:val="0"/>
          <w:iCs/>
        </w:rPr>
      </w:pPr>
      <w:r w:rsidRPr="00DE3448">
        <w:rPr>
          <w:i w:val="0"/>
          <w:iCs/>
        </w:rPr>
        <w:t>It is important to clarify that the experimental processes at flask and bioreactor scale were carried out under similar conditions such as working volume (400ml), temperature, culture media and pH, so a decrease in the production of Taq polymerase at the lowest speed in bioreactor suggests an effect on enzyme expression</w:t>
      </w:r>
      <w:r w:rsidR="001E4BB1">
        <w:rPr>
          <w:i w:val="0"/>
          <w:iCs/>
        </w:rPr>
        <w:t>;</w:t>
      </w:r>
      <w:r>
        <w:rPr>
          <w:i w:val="0"/>
          <w:iCs/>
        </w:rPr>
        <w:t xml:space="preserve"> </w:t>
      </w:r>
      <w:r w:rsidRPr="00DE3448">
        <w:rPr>
          <w:i w:val="0"/>
          <w:iCs/>
        </w:rPr>
        <w:t>however</w:t>
      </w:r>
      <w:r w:rsidR="001E4BB1">
        <w:rPr>
          <w:i w:val="0"/>
          <w:iCs/>
        </w:rPr>
        <w:t>,</w:t>
      </w:r>
      <w:r w:rsidRPr="00DE3448">
        <w:rPr>
          <w:i w:val="0"/>
          <w:iCs/>
        </w:rPr>
        <w:t xml:space="preserve"> this </w:t>
      </w:r>
      <w:r w:rsidR="00EF6BC8" w:rsidRPr="00DE3448">
        <w:rPr>
          <w:i w:val="0"/>
          <w:iCs/>
        </w:rPr>
        <w:t>requires</w:t>
      </w:r>
      <w:r w:rsidRPr="00DE3448">
        <w:rPr>
          <w:i w:val="0"/>
          <w:iCs/>
        </w:rPr>
        <w:t xml:space="preserve"> a greater number of experiments to infer that.</w:t>
      </w:r>
    </w:p>
    <w:p w14:paraId="272BBBDC" w14:textId="53D2A6AF" w:rsidR="0094459A" w:rsidRDefault="0094459A" w:rsidP="00715481">
      <w:pPr>
        <w:pStyle w:val="CETBodytext"/>
      </w:pPr>
    </w:p>
    <w:p w14:paraId="57C55FD5" w14:textId="2A5F2611" w:rsidR="00B377D1" w:rsidRPr="00200BDA" w:rsidRDefault="00B377D1" w:rsidP="00453E24">
      <w:pPr>
        <w:pStyle w:val="CETBodytext"/>
        <w:rPr>
          <w:lang w:val="en-GB"/>
        </w:rPr>
      </w:pPr>
      <w:r w:rsidRPr="00200BDA">
        <w:rPr>
          <w:noProof/>
          <w:lang w:val="en-GB"/>
        </w:rPr>
        <w:drawing>
          <wp:anchor distT="114300" distB="114300" distL="114300" distR="114300" simplePos="0" relativeHeight="251659264" behindDoc="0" locked="0" layoutInCell="1" hidden="0" allowOverlap="1" wp14:anchorId="511C82A6" wp14:editId="1BFB6538">
            <wp:simplePos x="0" y="0"/>
            <wp:positionH relativeFrom="margin">
              <wp:align>left</wp:align>
            </wp:positionH>
            <wp:positionV relativeFrom="paragraph">
              <wp:posOffset>138430</wp:posOffset>
            </wp:positionV>
            <wp:extent cx="4648200" cy="2260600"/>
            <wp:effectExtent l="0" t="0" r="0" b="6350"/>
            <wp:wrapSquare wrapText="bothSides" distT="114300" distB="114300" distL="114300" distR="114300"/>
            <wp:docPr id="1069" name="image1.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069" name="image1.jpg" descr="Interfaz de usuario gráfica, Aplicación&#10;&#10;Descripción generada automáticamente"/>
                    <pic:cNvPicPr preferRelativeResize="0"/>
                  </pic:nvPicPr>
                  <pic:blipFill>
                    <a:blip r:embed="rId11"/>
                    <a:srcRect l="6383" t="7771" r="8053" b="16620"/>
                    <a:stretch>
                      <a:fillRect/>
                    </a:stretch>
                  </pic:blipFill>
                  <pic:spPr>
                    <a:xfrm>
                      <a:off x="0" y="0"/>
                      <a:ext cx="4648200" cy="2260600"/>
                    </a:xfrm>
                    <a:prstGeom prst="rect">
                      <a:avLst/>
                    </a:prstGeom>
                    <a:ln/>
                  </pic:spPr>
                </pic:pic>
              </a:graphicData>
            </a:graphic>
            <wp14:sizeRelH relativeFrom="margin">
              <wp14:pctWidth>0</wp14:pctWidth>
            </wp14:sizeRelH>
            <wp14:sizeRelV relativeFrom="margin">
              <wp14:pctHeight>0</wp14:pctHeight>
            </wp14:sizeRelV>
          </wp:anchor>
        </w:drawing>
      </w:r>
    </w:p>
    <w:p w14:paraId="20B18987" w14:textId="12B81B3A" w:rsidR="00B377D1" w:rsidRPr="00200BDA" w:rsidRDefault="00B377D1" w:rsidP="00453E24">
      <w:pPr>
        <w:pStyle w:val="CETBodytext"/>
        <w:rPr>
          <w:lang w:val="en-GB"/>
        </w:rPr>
      </w:pPr>
    </w:p>
    <w:p w14:paraId="3BF94B4D" w14:textId="672F67F7" w:rsidR="00B377D1" w:rsidRPr="00200BDA" w:rsidRDefault="00B377D1" w:rsidP="00453E24">
      <w:pPr>
        <w:pStyle w:val="CETBodytext"/>
        <w:rPr>
          <w:lang w:val="en-GB"/>
        </w:rPr>
      </w:pPr>
    </w:p>
    <w:p w14:paraId="20B456F5" w14:textId="4178C1E1" w:rsidR="00B377D1" w:rsidRPr="00200BDA" w:rsidRDefault="00B377D1" w:rsidP="00453E24">
      <w:pPr>
        <w:pStyle w:val="CETBodytext"/>
        <w:rPr>
          <w:lang w:val="en-GB"/>
        </w:rPr>
      </w:pPr>
    </w:p>
    <w:p w14:paraId="50B2BC83" w14:textId="73F6DD61" w:rsidR="00B377D1" w:rsidRPr="00200BDA" w:rsidRDefault="00B377D1" w:rsidP="00453E24">
      <w:pPr>
        <w:pStyle w:val="CETBodytext"/>
        <w:rPr>
          <w:lang w:val="en-GB"/>
        </w:rPr>
      </w:pPr>
    </w:p>
    <w:p w14:paraId="6097D2BD" w14:textId="3B7C8A48" w:rsidR="00B377D1" w:rsidRPr="00200BDA" w:rsidRDefault="00B377D1" w:rsidP="00453E24">
      <w:pPr>
        <w:pStyle w:val="CETBodytext"/>
        <w:rPr>
          <w:lang w:val="en-GB"/>
        </w:rPr>
      </w:pPr>
    </w:p>
    <w:p w14:paraId="33D1BC08" w14:textId="10274A83" w:rsidR="00B377D1" w:rsidRPr="00200BDA" w:rsidRDefault="00B377D1" w:rsidP="00453E24">
      <w:pPr>
        <w:pStyle w:val="CETBodytext"/>
        <w:rPr>
          <w:lang w:val="en-GB"/>
        </w:rPr>
      </w:pPr>
    </w:p>
    <w:p w14:paraId="4E6241A1" w14:textId="77777777" w:rsidR="00B377D1" w:rsidRPr="00200BDA" w:rsidRDefault="00B377D1" w:rsidP="00453E24">
      <w:pPr>
        <w:pStyle w:val="CETBodytext"/>
        <w:rPr>
          <w:lang w:val="en-GB"/>
        </w:rPr>
      </w:pPr>
    </w:p>
    <w:p w14:paraId="3E66A8A0" w14:textId="126B0EB0" w:rsidR="00600535" w:rsidRPr="00200BDA" w:rsidRDefault="00600535" w:rsidP="00B377D1">
      <w:pPr>
        <w:pStyle w:val="CETListbullets"/>
        <w:ind w:firstLine="0"/>
      </w:pPr>
    </w:p>
    <w:p w14:paraId="301F2EF6" w14:textId="37594F9C" w:rsidR="00B377D1" w:rsidRPr="00200BDA" w:rsidRDefault="00B377D1" w:rsidP="00B377D1">
      <w:pPr>
        <w:pStyle w:val="CETListbullets"/>
        <w:ind w:firstLine="0"/>
      </w:pPr>
    </w:p>
    <w:p w14:paraId="784FEF02" w14:textId="2D9109AD" w:rsidR="00B377D1" w:rsidRPr="00200BDA" w:rsidRDefault="00B377D1" w:rsidP="00B377D1">
      <w:pPr>
        <w:pStyle w:val="CETListbullets"/>
        <w:ind w:firstLine="0"/>
      </w:pPr>
    </w:p>
    <w:p w14:paraId="302D05B2" w14:textId="4A403AF5" w:rsidR="00B377D1" w:rsidRPr="00200BDA" w:rsidRDefault="00B377D1" w:rsidP="00B377D1">
      <w:pPr>
        <w:pStyle w:val="CETListbullets"/>
        <w:ind w:firstLine="0"/>
      </w:pPr>
    </w:p>
    <w:p w14:paraId="1D2292D0" w14:textId="5266E5D1" w:rsidR="00B377D1" w:rsidRPr="00200BDA" w:rsidRDefault="00B377D1" w:rsidP="00B377D1">
      <w:pPr>
        <w:pStyle w:val="CETListbullets"/>
        <w:ind w:firstLine="0"/>
      </w:pPr>
    </w:p>
    <w:p w14:paraId="508B5BDD" w14:textId="0D501E6E" w:rsidR="00B377D1" w:rsidRPr="00200BDA" w:rsidRDefault="00B377D1" w:rsidP="00B377D1">
      <w:pPr>
        <w:pStyle w:val="CETListbullets"/>
        <w:ind w:firstLine="0"/>
      </w:pPr>
    </w:p>
    <w:p w14:paraId="55AC2013" w14:textId="475768FF" w:rsidR="00B377D1" w:rsidRPr="00200BDA" w:rsidRDefault="00B377D1" w:rsidP="00B377D1">
      <w:pPr>
        <w:pStyle w:val="CETListbullets"/>
        <w:ind w:firstLine="0"/>
      </w:pPr>
    </w:p>
    <w:p w14:paraId="7F63CE48" w14:textId="32EDA395" w:rsidR="00B377D1" w:rsidRPr="00200BDA" w:rsidRDefault="00B377D1" w:rsidP="00B377D1">
      <w:pPr>
        <w:pStyle w:val="CETListbullets"/>
        <w:ind w:firstLine="0"/>
      </w:pPr>
    </w:p>
    <w:p w14:paraId="61A955AE" w14:textId="3848EA26" w:rsidR="00B377D1" w:rsidRPr="00200BDA" w:rsidRDefault="00B377D1" w:rsidP="00B377D1">
      <w:pPr>
        <w:pStyle w:val="CETListbullets"/>
        <w:ind w:firstLine="0"/>
      </w:pPr>
    </w:p>
    <w:p w14:paraId="262BCBCB" w14:textId="141C7393" w:rsidR="00B377D1" w:rsidRPr="00200BDA" w:rsidRDefault="00B377D1" w:rsidP="00B377D1">
      <w:pPr>
        <w:pStyle w:val="CETListbullets"/>
        <w:ind w:firstLine="0"/>
        <w:jc w:val="left"/>
      </w:pPr>
    </w:p>
    <w:p w14:paraId="1613E5E5" w14:textId="7C25D4A9" w:rsidR="00B377D1" w:rsidRPr="00200BDA" w:rsidRDefault="00B377D1" w:rsidP="00B377D1">
      <w:pPr>
        <w:pStyle w:val="CETListbullets"/>
        <w:ind w:firstLine="0"/>
        <w:jc w:val="left"/>
        <w:rPr>
          <w:i/>
          <w:iCs/>
        </w:rPr>
      </w:pPr>
      <w:r w:rsidRPr="00772D2E">
        <w:rPr>
          <w:b/>
          <w:bCs/>
          <w:i/>
          <w:iCs/>
        </w:rPr>
        <w:t xml:space="preserve">Figure </w:t>
      </w:r>
      <w:r w:rsidR="00EC42B9" w:rsidRPr="002264AA">
        <w:rPr>
          <w:b/>
          <w:bCs/>
          <w:i/>
          <w:iCs/>
        </w:rPr>
        <w:t>2</w:t>
      </w:r>
      <w:r w:rsidRPr="00772D2E">
        <w:rPr>
          <w:b/>
          <w:bCs/>
          <w:i/>
          <w:iCs/>
        </w:rPr>
        <w:t>.</w:t>
      </w:r>
      <w:r w:rsidRPr="00200BDA">
        <w:rPr>
          <w:i/>
          <w:iCs/>
        </w:rPr>
        <w:t xml:space="preserve"> </w:t>
      </w:r>
      <w:r w:rsidR="0067425C" w:rsidRPr="00200BDA">
        <w:rPr>
          <w:i/>
          <w:iCs/>
        </w:rPr>
        <w:t>Polyacrylamide gel electrophoresis for the expression and purification of Taq polymerase from recombinant E.</w:t>
      </w:r>
      <w:r w:rsidR="00A74C98">
        <w:rPr>
          <w:i/>
          <w:iCs/>
        </w:rPr>
        <w:t xml:space="preserve"> </w:t>
      </w:r>
      <w:r w:rsidR="0067425C" w:rsidRPr="00200BDA">
        <w:rPr>
          <w:i/>
          <w:iCs/>
        </w:rPr>
        <w:t>coli</w:t>
      </w:r>
      <w:r w:rsidR="00E63172">
        <w:rPr>
          <w:i/>
          <w:iCs/>
        </w:rPr>
        <w:t xml:space="preserve"> </w:t>
      </w:r>
      <w:r w:rsidR="00E63172" w:rsidRPr="00275997">
        <w:rPr>
          <w:rFonts w:eastAsia="Arial" w:cs="Arial"/>
          <w:szCs w:val="18"/>
        </w:rPr>
        <w:t>Tucan Taq®</w:t>
      </w:r>
      <w:r w:rsidR="00E40269">
        <w:rPr>
          <w:rFonts w:eastAsia="Arial" w:cs="Arial"/>
          <w:szCs w:val="18"/>
        </w:rPr>
        <w:t xml:space="preserve">  </w:t>
      </w:r>
      <w:r w:rsidR="0067425C" w:rsidRPr="00200BDA">
        <w:rPr>
          <w:i/>
          <w:iCs/>
        </w:rPr>
        <w:t xml:space="preserve">. Lane </w:t>
      </w:r>
      <w:r w:rsidR="0067425C" w:rsidRPr="00FB52DD">
        <w:rPr>
          <w:b/>
          <w:bCs/>
          <w:i/>
          <w:iCs/>
        </w:rPr>
        <w:t>M</w:t>
      </w:r>
      <w:r w:rsidR="0067425C" w:rsidRPr="00200BDA">
        <w:rPr>
          <w:i/>
          <w:iCs/>
        </w:rPr>
        <w:t xml:space="preserve">, protein molecular weight marker; Lane </w:t>
      </w:r>
      <w:r w:rsidR="0067425C" w:rsidRPr="00FB52DD">
        <w:rPr>
          <w:b/>
          <w:bCs/>
          <w:i/>
          <w:iCs/>
        </w:rPr>
        <w:t>1</w:t>
      </w:r>
      <w:r w:rsidR="0067425C" w:rsidRPr="00200BDA">
        <w:rPr>
          <w:i/>
          <w:iCs/>
        </w:rPr>
        <w:t xml:space="preserve">, E. coli after inducing, </w:t>
      </w:r>
      <w:r w:rsidR="00530EB7">
        <w:rPr>
          <w:i/>
          <w:iCs/>
        </w:rPr>
        <w:t>test</w:t>
      </w:r>
      <w:r w:rsidR="0067425C" w:rsidRPr="00200BDA">
        <w:rPr>
          <w:i/>
          <w:iCs/>
        </w:rPr>
        <w:t xml:space="preserve"> 1 at 350 rpm; Lane </w:t>
      </w:r>
      <w:r w:rsidR="0067425C" w:rsidRPr="00FB52DD">
        <w:rPr>
          <w:b/>
          <w:bCs/>
          <w:i/>
          <w:iCs/>
        </w:rPr>
        <w:t>2</w:t>
      </w:r>
      <w:r w:rsidR="0067425C" w:rsidRPr="00200BDA">
        <w:rPr>
          <w:i/>
          <w:iCs/>
        </w:rPr>
        <w:t xml:space="preserve">, E. coli before induction, </w:t>
      </w:r>
      <w:r w:rsidR="00530EB7">
        <w:rPr>
          <w:i/>
          <w:iCs/>
        </w:rPr>
        <w:t>test</w:t>
      </w:r>
      <w:r w:rsidR="0067425C" w:rsidRPr="00200BDA">
        <w:rPr>
          <w:i/>
          <w:iCs/>
        </w:rPr>
        <w:t xml:space="preserve"> 1 at 350 rpm; Lane </w:t>
      </w:r>
      <w:r w:rsidR="0067425C" w:rsidRPr="00FB52DD">
        <w:rPr>
          <w:b/>
          <w:bCs/>
          <w:i/>
          <w:iCs/>
        </w:rPr>
        <w:t>3</w:t>
      </w:r>
      <w:r w:rsidR="0067425C" w:rsidRPr="00200BDA">
        <w:rPr>
          <w:i/>
          <w:iCs/>
        </w:rPr>
        <w:t xml:space="preserve">, E. coli after inducing, </w:t>
      </w:r>
      <w:r w:rsidR="00530EB7">
        <w:rPr>
          <w:i/>
          <w:iCs/>
        </w:rPr>
        <w:t>test</w:t>
      </w:r>
      <w:r w:rsidR="0067425C" w:rsidRPr="00200BDA">
        <w:rPr>
          <w:i/>
          <w:iCs/>
        </w:rPr>
        <w:t xml:space="preserve"> 2 at 350 rpm; Lane </w:t>
      </w:r>
      <w:r w:rsidR="0067425C" w:rsidRPr="00FB52DD">
        <w:rPr>
          <w:b/>
          <w:bCs/>
          <w:i/>
          <w:iCs/>
        </w:rPr>
        <w:t>4</w:t>
      </w:r>
      <w:r w:rsidR="0067425C" w:rsidRPr="00200BDA">
        <w:rPr>
          <w:i/>
          <w:iCs/>
        </w:rPr>
        <w:t xml:space="preserve">, E. coli before inducing, </w:t>
      </w:r>
      <w:r w:rsidR="00530EB7">
        <w:rPr>
          <w:i/>
          <w:iCs/>
        </w:rPr>
        <w:t>test</w:t>
      </w:r>
      <w:r w:rsidR="0067425C" w:rsidRPr="00200BDA">
        <w:rPr>
          <w:i/>
          <w:iCs/>
        </w:rPr>
        <w:t xml:space="preserve"> 2 at 350 rpm; Lane</w:t>
      </w:r>
      <w:r w:rsidR="0067425C" w:rsidRPr="00B90963">
        <w:rPr>
          <w:b/>
          <w:bCs/>
          <w:i/>
          <w:iCs/>
        </w:rPr>
        <w:t xml:space="preserve"> 5</w:t>
      </w:r>
      <w:r w:rsidR="0067425C" w:rsidRPr="00200BDA">
        <w:rPr>
          <w:i/>
          <w:iCs/>
        </w:rPr>
        <w:t xml:space="preserve">, E. coli after inducing, </w:t>
      </w:r>
      <w:r w:rsidR="00530EB7">
        <w:rPr>
          <w:i/>
          <w:iCs/>
        </w:rPr>
        <w:t>test</w:t>
      </w:r>
      <w:r w:rsidR="0067425C" w:rsidRPr="00200BDA">
        <w:rPr>
          <w:i/>
          <w:iCs/>
        </w:rPr>
        <w:t xml:space="preserve"> 2 at 220 rpm; Lane</w:t>
      </w:r>
      <w:r w:rsidR="0067425C" w:rsidRPr="00FB52DD">
        <w:rPr>
          <w:b/>
          <w:bCs/>
          <w:i/>
          <w:iCs/>
        </w:rPr>
        <w:t xml:space="preserve"> 6</w:t>
      </w:r>
      <w:r w:rsidR="0067425C" w:rsidRPr="00200BDA">
        <w:rPr>
          <w:i/>
          <w:iCs/>
        </w:rPr>
        <w:t xml:space="preserve">, E. coli before inducing, </w:t>
      </w:r>
      <w:r w:rsidR="00530EB7">
        <w:rPr>
          <w:i/>
          <w:iCs/>
        </w:rPr>
        <w:t>test</w:t>
      </w:r>
      <w:r w:rsidR="0067425C" w:rsidRPr="00200BDA">
        <w:rPr>
          <w:i/>
          <w:iCs/>
        </w:rPr>
        <w:t xml:space="preserve"> 2 at 220 rpm; Lane </w:t>
      </w:r>
      <w:r w:rsidR="0067425C" w:rsidRPr="00FB52DD">
        <w:rPr>
          <w:b/>
          <w:bCs/>
          <w:i/>
          <w:iCs/>
        </w:rPr>
        <w:t>7</w:t>
      </w:r>
      <w:r w:rsidR="0067425C" w:rsidRPr="00200BDA">
        <w:rPr>
          <w:i/>
          <w:iCs/>
        </w:rPr>
        <w:t xml:space="preserve">, E. coli after inducing, </w:t>
      </w:r>
      <w:r w:rsidR="00530EB7">
        <w:rPr>
          <w:i/>
          <w:iCs/>
        </w:rPr>
        <w:t>test</w:t>
      </w:r>
      <w:r w:rsidR="0067425C" w:rsidRPr="00200BDA">
        <w:rPr>
          <w:i/>
          <w:iCs/>
        </w:rPr>
        <w:t xml:space="preserve"> 1 at 220 rpm; Lane </w:t>
      </w:r>
      <w:r w:rsidR="0067425C" w:rsidRPr="00FB52DD">
        <w:rPr>
          <w:b/>
          <w:bCs/>
          <w:i/>
          <w:iCs/>
        </w:rPr>
        <w:t>8</w:t>
      </w:r>
      <w:r w:rsidR="0067425C" w:rsidRPr="00200BDA">
        <w:rPr>
          <w:i/>
          <w:iCs/>
        </w:rPr>
        <w:t xml:space="preserve">, E. coli before inducing, </w:t>
      </w:r>
      <w:r w:rsidR="00530EB7">
        <w:rPr>
          <w:i/>
          <w:iCs/>
        </w:rPr>
        <w:t>test</w:t>
      </w:r>
      <w:r w:rsidR="0067425C" w:rsidRPr="00200BDA">
        <w:rPr>
          <w:i/>
          <w:iCs/>
        </w:rPr>
        <w:t xml:space="preserve"> 1 at 220 rpm.</w:t>
      </w:r>
    </w:p>
    <w:p w14:paraId="57B644F4" w14:textId="0BDC7ED7" w:rsidR="00B377D1" w:rsidRPr="00200BDA" w:rsidRDefault="00B377D1" w:rsidP="00B377D1">
      <w:pPr>
        <w:pStyle w:val="CETListbullets"/>
        <w:ind w:firstLine="0"/>
      </w:pPr>
    </w:p>
    <w:p w14:paraId="24FAA9CA" w14:textId="39D8EE81" w:rsidR="0067425C" w:rsidRPr="00200BDA" w:rsidRDefault="0067425C" w:rsidP="0067425C">
      <w:pPr>
        <w:pStyle w:val="CETListbullets"/>
        <w:ind w:left="0" w:firstLine="0"/>
      </w:pPr>
      <w:r w:rsidRPr="00200BDA">
        <w:t xml:space="preserve">In comparison with the samples before induction, the absence of the expected band in the molecular weight of Taq polymerase is evidenced in Figure </w:t>
      </w:r>
      <w:r w:rsidR="00EC42B9">
        <w:t>2</w:t>
      </w:r>
      <w:r w:rsidRPr="00200BDA">
        <w:t>, indicating that these samples do not contain the protein of interest. For all the replicates of each level of agitation, it is observed that the samples after induction present an intense band at a molecular weight of approximately 80 kDa, indicating the success of the induction and expression of the enzyme, since the presence of Taq is evident in the different samples. Although the Bradford technique shows an increase in protein concentration at 350 rpm, the gel electrophoresis technique only allows inferring whether the induction was successful or not.</w:t>
      </w:r>
    </w:p>
    <w:p w14:paraId="1B2D4006" w14:textId="31FDE8DE" w:rsidR="00D92233" w:rsidRPr="00200BDA" w:rsidRDefault="00D92233" w:rsidP="0067425C">
      <w:pPr>
        <w:pStyle w:val="CETListbullets"/>
        <w:ind w:left="0" w:firstLine="0"/>
      </w:pPr>
    </w:p>
    <w:p w14:paraId="74DB5972" w14:textId="7E425F9E" w:rsidR="00D92233" w:rsidRPr="00200BDA" w:rsidRDefault="00D92233" w:rsidP="00D92233">
      <w:pPr>
        <w:spacing w:line="240" w:lineRule="atLeast"/>
        <w:ind w:hanging="2"/>
        <w:rPr>
          <w:rFonts w:eastAsia="Arial"/>
          <w:b/>
          <w:bCs/>
        </w:rPr>
      </w:pPr>
      <w:r w:rsidRPr="00200BDA">
        <w:rPr>
          <w:rFonts w:eastAsia="Arial"/>
          <w:b/>
          <w:bCs/>
        </w:rPr>
        <w:t>3.3 Measurement of operation parameters</w:t>
      </w:r>
    </w:p>
    <w:p w14:paraId="535B22E3" w14:textId="11BE31F8" w:rsidR="00D92233" w:rsidRPr="00200BDA" w:rsidRDefault="00D92233" w:rsidP="0067425C">
      <w:pPr>
        <w:pStyle w:val="CETListbullets"/>
        <w:ind w:left="0" w:firstLine="0"/>
      </w:pPr>
    </w:p>
    <w:p w14:paraId="488FB97B" w14:textId="4558ED62" w:rsidR="0099670B" w:rsidRDefault="0099670B" w:rsidP="00B32C9E">
      <w:pPr>
        <w:pStyle w:val="CETListbullets"/>
        <w:ind w:left="0" w:firstLine="0"/>
      </w:pPr>
      <w:r w:rsidRPr="00200BDA">
        <w:t>A change in agitation speed does not generate a significant difference in the measured pH values</w:t>
      </w:r>
      <w:r w:rsidR="000F5A6B">
        <w:t xml:space="preserve"> (Figure </w:t>
      </w:r>
      <w:r w:rsidR="00EC42B9" w:rsidRPr="002264AA">
        <w:t>3</w:t>
      </w:r>
      <w:r w:rsidR="000F5A6B">
        <w:t>)</w:t>
      </w:r>
      <w:r w:rsidRPr="00200BDA">
        <w:t xml:space="preserve">; in addition, they are in the optimal range for growth of </w:t>
      </w:r>
      <w:r w:rsidRPr="00200BDA">
        <w:rPr>
          <w:i/>
          <w:iCs/>
        </w:rPr>
        <w:t>E. coli</w:t>
      </w:r>
      <w:r w:rsidRPr="00200BDA">
        <w:t xml:space="preserve">, this being 6 - 8.6. The pH was not controlled by adding acids and bases to the fermentation, but it was monitored to ensure that the host and the enzyme of interest are found in a growth medium that will generate a neutral pH range. According to different studies of Taq polymerase production, the reported pH is the one provided by the culture medium used, being the LB, with a pH of 6.8 to 7.2, it should be clarified that this production was carried out in a flask (Farazmandfar </w:t>
      </w:r>
      <w:r w:rsidRPr="000F5A6B">
        <w:t>et al</w:t>
      </w:r>
      <w:r w:rsidRPr="00200BDA">
        <w:rPr>
          <w:i/>
          <w:iCs/>
        </w:rPr>
        <w:t>.</w:t>
      </w:r>
      <w:r w:rsidR="000F5A6B">
        <w:t xml:space="preserve">, </w:t>
      </w:r>
      <w:r w:rsidRPr="00200BDA">
        <w:t xml:space="preserve">2013). </w:t>
      </w:r>
      <w:r w:rsidR="00B32C9E" w:rsidRPr="00200BDA">
        <w:t>The effect of agitation on the availability of dissolved oxygen</w:t>
      </w:r>
      <w:r w:rsidR="000F5A6B">
        <w:t xml:space="preserve"> (Figure </w:t>
      </w:r>
      <w:r w:rsidR="00EC42B9" w:rsidRPr="002264AA">
        <w:t>4</w:t>
      </w:r>
      <w:r w:rsidR="000F5A6B">
        <w:t>)</w:t>
      </w:r>
      <w:r w:rsidR="00B32C9E" w:rsidRPr="00200BDA">
        <w:t xml:space="preserve"> in the medium is significant, generating a decrease in this element for 5 hours when the agitation was at 220 rpm compared to 350 rpm where the decrease was for 1 hour. At lower levels of agitation, cells need more time to be able to adapt their metabolism </w:t>
      </w:r>
      <w:r w:rsidR="00B32C9E" w:rsidRPr="00200BDA">
        <w:lastRenderedPageBreak/>
        <w:t xml:space="preserve">to the metabolic load imposed by all the biological processes carried out (Sørensen </w:t>
      </w:r>
      <w:r w:rsidR="00DE3448">
        <w:t>and</w:t>
      </w:r>
      <w:r w:rsidR="00B32C9E" w:rsidRPr="00200BDA">
        <w:t xml:space="preserve"> Mortensen, 2005). At 350 rpm, being a higher agitation speed, a bubble size smaller than 220 rpm is generated and it gives a greater contact area and therefore the diffusion of dissolved oxygen in the medium is greater (</w:t>
      </w:r>
      <w:r w:rsidR="00B32C9E" w:rsidRPr="002264AA">
        <w:t>Kulkarni</w:t>
      </w:r>
      <w:r w:rsidR="004A5644">
        <w:t xml:space="preserve"> et al.</w:t>
      </w:r>
      <w:r w:rsidR="00B32C9E" w:rsidRPr="00200BDA">
        <w:t>, 2009).</w:t>
      </w:r>
    </w:p>
    <w:p w14:paraId="4CE165EA" w14:textId="7E0F9134" w:rsidR="00E6454B" w:rsidRDefault="00E6454B" w:rsidP="00B32C9E">
      <w:pPr>
        <w:pStyle w:val="CETListbullets"/>
        <w:ind w:left="0" w:firstLine="0"/>
      </w:pPr>
    </w:p>
    <w:p w14:paraId="364277DE" w14:textId="42E0D6F7" w:rsidR="00E6454B" w:rsidRDefault="00E6454B" w:rsidP="00B32C9E">
      <w:pPr>
        <w:pStyle w:val="CETListbullets"/>
        <w:ind w:left="0" w:firstLine="0"/>
      </w:pPr>
      <w:r w:rsidRPr="00E6454B">
        <w:rPr>
          <w:noProof/>
        </w:rPr>
        <w:drawing>
          <wp:inline distT="0" distB="0" distL="0" distR="0" wp14:anchorId="4B55D2F8" wp14:editId="659CA4A6">
            <wp:extent cx="5579745" cy="1729105"/>
            <wp:effectExtent l="0" t="0" r="1905"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1729105"/>
                    </a:xfrm>
                    <a:prstGeom prst="rect">
                      <a:avLst/>
                    </a:prstGeom>
                    <a:noFill/>
                    <a:ln>
                      <a:noFill/>
                    </a:ln>
                  </pic:spPr>
                </pic:pic>
              </a:graphicData>
            </a:graphic>
          </wp:inline>
        </w:drawing>
      </w:r>
    </w:p>
    <w:p w14:paraId="46A39CFE" w14:textId="08AE0AE8" w:rsidR="00E6454B" w:rsidRDefault="00E6454B" w:rsidP="00B32C9E">
      <w:pPr>
        <w:pStyle w:val="CETListbullets"/>
        <w:ind w:left="0" w:firstLine="0"/>
      </w:pPr>
    </w:p>
    <w:p w14:paraId="4D981C70" w14:textId="55D4D186" w:rsidR="00E6454B" w:rsidRDefault="00E6454B" w:rsidP="00E6454B">
      <w:pPr>
        <w:pStyle w:val="CETCaption"/>
      </w:pPr>
      <w:r w:rsidRPr="00772D2E">
        <w:rPr>
          <w:rStyle w:val="CETCaptionCarattere"/>
          <w:b/>
          <w:bCs/>
          <w:i/>
        </w:rPr>
        <w:t xml:space="preserve">Figure </w:t>
      </w:r>
      <w:r w:rsidR="00EC42B9" w:rsidRPr="002264AA">
        <w:rPr>
          <w:rStyle w:val="CETCaptionCarattere"/>
          <w:b/>
          <w:bCs/>
          <w:i/>
        </w:rPr>
        <w:t>3</w:t>
      </w:r>
      <w:r w:rsidRPr="00772D2E">
        <w:rPr>
          <w:rStyle w:val="CETCaptionCarattere"/>
          <w:b/>
          <w:bCs/>
          <w:i/>
        </w:rPr>
        <w:t>:</w:t>
      </w:r>
      <w:r w:rsidRPr="00200BDA">
        <w:rPr>
          <w:rStyle w:val="CETCaptionCarattere"/>
          <w:i/>
        </w:rPr>
        <w:t xml:space="preserve"> </w:t>
      </w:r>
      <w:r w:rsidR="00AE5566">
        <w:rPr>
          <w:rStyle w:val="CETCaptionCarattere"/>
          <w:i/>
        </w:rPr>
        <w:t xml:space="preserve">pH </w:t>
      </w:r>
      <w:r w:rsidR="003E2590">
        <w:rPr>
          <w:rStyle w:val="CETCaptionCarattere"/>
          <w:i/>
        </w:rPr>
        <w:t>behavior</w:t>
      </w:r>
      <w:r>
        <w:rPr>
          <w:rStyle w:val="CETCaptionCarattere"/>
          <w:i/>
        </w:rPr>
        <w:t xml:space="preserve"> at different agitation speeds</w:t>
      </w:r>
      <w:r w:rsidR="003E2590">
        <w:rPr>
          <w:rStyle w:val="CETCaptionCarattere"/>
          <w:i/>
        </w:rPr>
        <w:t xml:space="preserve"> </w:t>
      </w:r>
      <w:r w:rsidRPr="00395069">
        <w:rPr>
          <w:rStyle w:val="CETCaptionCarattere"/>
          <w:b/>
          <w:bCs/>
          <w:i/>
        </w:rPr>
        <w:t>a)</w:t>
      </w:r>
      <w:r w:rsidRPr="00200BDA">
        <w:t xml:space="preserve"> </w:t>
      </w:r>
      <w:r>
        <w:t xml:space="preserve">220 rpm,  </w:t>
      </w:r>
      <w:r>
        <w:rPr>
          <w:rStyle w:val="CETCaptionCarattere"/>
          <w:b/>
          <w:bCs/>
          <w:i/>
        </w:rPr>
        <w:t>b</w:t>
      </w:r>
      <w:r w:rsidRPr="00395069">
        <w:rPr>
          <w:rStyle w:val="CETCaptionCarattere"/>
          <w:b/>
          <w:bCs/>
          <w:i/>
        </w:rPr>
        <w:t>)</w:t>
      </w:r>
      <w:r w:rsidRPr="00200BDA">
        <w:t xml:space="preserve"> </w:t>
      </w:r>
      <w:r>
        <w:t>350 rpm</w:t>
      </w:r>
      <w:r w:rsidR="00AE5566">
        <w:t>.</w:t>
      </w:r>
    </w:p>
    <w:p w14:paraId="228DD500" w14:textId="48BC02F4" w:rsidR="00AE5566" w:rsidRPr="00200BDA" w:rsidRDefault="00AE5566" w:rsidP="00E6454B">
      <w:pPr>
        <w:pStyle w:val="CETCaption"/>
      </w:pPr>
      <w:r w:rsidRPr="00AE5566">
        <w:rPr>
          <w:noProof/>
        </w:rPr>
        <w:drawing>
          <wp:inline distT="0" distB="0" distL="0" distR="0" wp14:anchorId="5DC57807" wp14:editId="12B9452B">
            <wp:extent cx="5579745" cy="1729105"/>
            <wp:effectExtent l="0" t="0" r="190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1729105"/>
                    </a:xfrm>
                    <a:prstGeom prst="rect">
                      <a:avLst/>
                    </a:prstGeom>
                    <a:noFill/>
                    <a:ln>
                      <a:noFill/>
                    </a:ln>
                  </pic:spPr>
                </pic:pic>
              </a:graphicData>
            </a:graphic>
          </wp:inline>
        </w:drawing>
      </w:r>
    </w:p>
    <w:p w14:paraId="17E52A65" w14:textId="2592F41C" w:rsidR="00E6454B" w:rsidRPr="00200BDA" w:rsidRDefault="00AE5566" w:rsidP="00B32C9E">
      <w:pPr>
        <w:pStyle w:val="CETListbullets"/>
        <w:ind w:left="0" w:firstLine="0"/>
      </w:pPr>
      <w:r w:rsidRPr="00772D2E">
        <w:rPr>
          <w:rStyle w:val="CETCaptionCarattere"/>
          <w:b/>
          <w:bCs/>
        </w:rPr>
        <w:t xml:space="preserve">Figure </w:t>
      </w:r>
      <w:r w:rsidR="00EC42B9" w:rsidRPr="002264AA">
        <w:rPr>
          <w:rStyle w:val="CETCaptionCarattere"/>
          <w:b/>
          <w:bCs/>
          <w:i w:val="0"/>
        </w:rPr>
        <w:t>4</w:t>
      </w:r>
      <w:r w:rsidRPr="002264AA">
        <w:rPr>
          <w:rStyle w:val="CETCaptionCarattere"/>
          <w:b/>
          <w:bCs/>
        </w:rPr>
        <w:t>:</w:t>
      </w:r>
      <w:r w:rsidRPr="00200BDA">
        <w:rPr>
          <w:rStyle w:val="CETCaptionCarattere"/>
        </w:rPr>
        <w:t xml:space="preserve"> </w:t>
      </w:r>
      <w:r>
        <w:rPr>
          <w:rStyle w:val="CETCaptionCarattere"/>
          <w:i w:val="0"/>
        </w:rPr>
        <w:t xml:space="preserve">Dissolved oxygen behaviour at different agitation speeds  </w:t>
      </w:r>
      <w:r w:rsidRPr="00395069">
        <w:rPr>
          <w:rStyle w:val="CETCaptionCarattere"/>
          <w:b/>
          <w:bCs/>
          <w:i w:val="0"/>
        </w:rPr>
        <w:t>a)</w:t>
      </w:r>
      <w:r w:rsidRPr="00200BDA">
        <w:t xml:space="preserve"> </w:t>
      </w:r>
      <w:r>
        <w:t xml:space="preserve">220 rpm,  </w:t>
      </w:r>
      <w:r>
        <w:rPr>
          <w:rStyle w:val="CETCaptionCarattere"/>
          <w:b/>
          <w:bCs/>
          <w:i w:val="0"/>
        </w:rPr>
        <w:t>b</w:t>
      </w:r>
      <w:r w:rsidRPr="00395069">
        <w:rPr>
          <w:rStyle w:val="CETCaptionCarattere"/>
          <w:b/>
          <w:bCs/>
          <w:i w:val="0"/>
        </w:rPr>
        <w:t>)</w:t>
      </w:r>
      <w:r w:rsidRPr="00200BDA">
        <w:t xml:space="preserve"> </w:t>
      </w:r>
      <w:r>
        <w:t>350 rpm</w:t>
      </w:r>
    </w:p>
    <w:p w14:paraId="6BF714DA" w14:textId="0D7E571E" w:rsidR="00E6454B" w:rsidRPr="00E6454B" w:rsidRDefault="00600535" w:rsidP="00E6454B">
      <w:pPr>
        <w:pStyle w:val="CETHeading1"/>
        <w:rPr>
          <w:lang w:val="en-GB"/>
        </w:rPr>
      </w:pPr>
      <w:r w:rsidRPr="00200BDA">
        <w:rPr>
          <w:lang w:val="en-GB"/>
        </w:rPr>
        <w:t>Conclusions</w:t>
      </w:r>
    </w:p>
    <w:p w14:paraId="03CEA04C" w14:textId="2C1C3EE5" w:rsidR="00C52C3C" w:rsidRPr="00200BDA" w:rsidRDefault="00402AD9" w:rsidP="004E498B">
      <w:pPr>
        <w:pStyle w:val="CETListbullets"/>
        <w:ind w:left="0" w:firstLine="0"/>
      </w:pPr>
      <w:r>
        <w:t>Continuous</w:t>
      </w:r>
      <w:r w:rsidR="004E498B" w:rsidRPr="00200BDA">
        <w:t xml:space="preserve"> mechanical agitation of the bioreactor influences greatly on the concentration of the recombinant protein of Taq polymerase expressed in </w:t>
      </w:r>
      <w:r w:rsidR="004E498B" w:rsidRPr="001C6D56">
        <w:rPr>
          <w:i/>
          <w:iCs/>
        </w:rPr>
        <w:t>Escherichia coli</w:t>
      </w:r>
      <w:r w:rsidR="004E498B" w:rsidRPr="00200BDA">
        <w:t xml:space="preserve">. It increases the concentration at higher levels of agitation, on average </w:t>
      </w:r>
      <w:r w:rsidR="001C6D56">
        <w:t>82</w:t>
      </w:r>
      <w:r w:rsidR="004E498B" w:rsidRPr="00200BDA">
        <w:t xml:space="preserve">% in the level of 350 rpm compared to </w:t>
      </w:r>
      <w:r w:rsidR="001C6D56">
        <w:t>flask scale</w:t>
      </w:r>
      <w:r w:rsidR="004E498B" w:rsidRPr="00200BDA">
        <w:t>. Production of Taq polymerase at a bioreactor scale is of great importance since the demand for the PCR technique in the world has increased considerably. Finally, bioreactors for production of recombinant proteins have easier monitoring and control of the different environmental parameters providing advantages when it comes to an industrial process.</w:t>
      </w:r>
    </w:p>
    <w:p w14:paraId="40FF2FC0" w14:textId="77777777" w:rsidR="00856D24" w:rsidRPr="00200BDA" w:rsidRDefault="00856D24" w:rsidP="00856D24">
      <w:pPr>
        <w:pStyle w:val="CETAcknowledgementstitle"/>
      </w:pPr>
      <w:r w:rsidRPr="00200BDA">
        <w:t>Acknowledgments</w:t>
      </w:r>
    </w:p>
    <w:p w14:paraId="51E75981" w14:textId="53A97FB7" w:rsidR="00C33904" w:rsidRDefault="00BF3AC7" w:rsidP="004E498B">
      <w:pPr>
        <w:pStyle w:val="CETListbullets"/>
        <w:ind w:left="0" w:firstLine="0"/>
      </w:pPr>
      <w:r w:rsidRPr="00772D2E">
        <w:rPr>
          <w:rFonts w:cs="Arial"/>
          <w:szCs w:val="18"/>
        </w:rPr>
        <w:t>The authors express sincere gratitude</w:t>
      </w:r>
      <w:r w:rsidR="00C33904">
        <w:rPr>
          <w:rFonts w:cs="Arial"/>
          <w:szCs w:val="18"/>
        </w:rPr>
        <w:t>,</w:t>
      </w:r>
      <w:r w:rsidRPr="00772D2E">
        <w:rPr>
          <w:rFonts w:cs="Arial"/>
          <w:szCs w:val="18"/>
        </w:rPr>
        <w:t xml:space="preserve"> </w:t>
      </w:r>
      <w:r w:rsidR="00C33904">
        <w:t>especially</w:t>
      </w:r>
      <w:r w:rsidR="00C33904" w:rsidRPr="00772D2E">
        <w:rPr>
          <w:rFonts w:cs="Arial"/>
          <w:szCs w:val="18"/>
        </w:rPr>
        <w:t xml:space="preserve"> </w:t>
      </w:r>
      <w:r w:rsidRPr="00772D2E">
        <w:rPr>
          <w:rFonts w:cs="Arial"/>
          <w:szCs w:val="18"/>
        </w:rPr>
        <w:t xml:space="preserve">to </w:t>
      </w:r>
      <w:r w:rsidRPr="00772D2E">
        <w:t>corporation C</w:t>
      </w:r>
      <w:r w:rsidR="009C7BA4">
        <w:t>orpo</w:t>
      </w:r>
      <w:r w:rsidRPr="00772D2E">
        <w:t>G</w:t>
      </w:r>
      <w:r w:rsidR="009C7BA4">
        <w:t>en</w:t>
      </w:r>
      <w:r w:rsidR="00C33904">
        <w:t xml:space="preserve"> (private non-profit research center,</w:t>
      </w:r>
    </w:p>
    <w:p w14:paraId="20368CAA" w14:textId="28958066" w:rsidR="00BF3AC7" w:rsidRPr="00772D2E" w:rsidRDefault="0003505E" w:rsidP="004E498B">
      <w:pPr>
        <w:pStyle w:val="CETListbullets"/>
        <w:ind w:left="0" w:firstLine="0"/>
      </w:pPr>
      <w:hyperlink r:id="rId14" w:history="1">
        <w:r w:rsidR="00C33904" w:rsidRPr="00DE2DEB">
          <w:rPr>
            <w:rStyle w:val="Hipervnculo"/>
          </w:rPr>
          <w:t>https://en.corpogen.org/</w:t>
        </w:r>
      </w:hyperlink>
      <w:r w:rsidR="009C7BA4">
        <w:t xml:space="preserve"> )</w:t>
      </w:r>
      <w:r w:rsidR="001C6D56">
        <w:t>,the researcher Dayana Calderon</w:t>
      </w:r>
      <w:r w:rsidR="00BF3AC7" w:rsidRPr="00772D2E">
        <w:t xml:space="preserve"> and</w:t>
      </w:r>
      <w:r w:rsidR="00D42B12" w:rsidRPr="00772D2E">
        <w:t xml:space="preserve"> </w:t>
      </w:r>
      <w:r w:rsidR="001C6D56">
        <w:rPr>
          <w:rFonts w:cs="Arial"/>
          <w:szCs w:val="18"/>
        </w:rPr>
        <w:t>Fundación Universidad de América</w:t>
      </w:r>
      <w:r w:rsidR="00BF3AC7" w:rsidRPr="00772D2E">
        <w:rPr>
          <w:rFonts w:cs="Arial"/>
          <w:szCs w:val="18"/>
        </w:rPr>
        <w:t xml:space="preserve">, for </w:t>
      </w:r>
      <w:r w:rsidR="00BF3AC7" w:rsidRPr="00772D2E">
        <w:t>supporting this research</w:t>
      </w:r>
    </w:p>
    <w:p w14:paraId="554030AC" w14:textId="77777777" w:rsidR="00856D24" w:rsidRPr="00200BDA" w:rsidRDefault="00856D24" w:rsidP="004E498B">
      <w:pPr>
        <w:pStyle w:val="CETListbullets"/>
        <w:ind w:left="0" w:firstLine="0"/>
      </w:pPr>
    </w:p>
    <w:p w14:paraId="28E8379D" w14:textId="677DDC48" w:rsidR="00C52C3C" w:rsidRDefault="0029001A" w:rsidP="00E65B91">
      <w:pPr>
        <w:pStyle w:val="CETReferencetext"/>
        <w:rPr>
          <w:b/>
          <w:bCs/>
        </w:rPr>
      </w:pPr>
      <w:r w:rsidRPr="00200BDA">
        <w:rPr>
          <w:b/>
          <w:bCs/>
        </w:rPr>
        <w:t>REFERENCES</w:t>
      </w:r>
    </w:p>
    <w:p w14:paraId="6278B4EF" w14:textId="4BC21B8D" w:rsidR="009D3034" w:rsidRDefault="009D3034" w:rsidP="00E65B91">
      <w:pPr>
        <w:pStyle w:val="CETReferencetext"/>
        <w:rPr>
          <w:b/>
          <w:bCs/>
        </w:rPr>
      </w:pPr>
    </w:p>
    <w:p w14:paraId="70A7CB2F" w14:textId="4C2DF20B" w:rsidR="009D3034" w:rsidRDefault="009D3034" w:rsidP="00283D1D">
      <w:pPr>
        <w:pStyle w:val="CETBodytext"/>
        <w:ind w:left="288" w:hanging="288"/>
      </w:pPr>
      <w:r>
        <w:t xml:space="preserve">Bagagli M.P and Sato H., 2013, Two-Staged Temperature and Agitation Strategy for the Production of Transglutaminase from a Streptomyces sp. Isolated from Brazilian Soil. </w:t>
      </w:r>
      <w:r w:rsidRPr="002264AA">
        <w:t>Applied Biochem</w:t>
      </w:r>
      <w:r w:rsidR="00956C41" w:rsidRPr="002264AA">
        <w:t xml:space="preserve"> Biotechnol,</w:t>
      </w:r>
      <w:r w:rsidR="00956C41">
        <w:t xml:space="preserve"> 170, 1057-1065</w:t>
      </w:r>
    </w:p>
    <w:p w14:paraId="19AB5D8D" w14:textId="250058CC" w:rsidR="00B76631" w:rsidRDefault="00B76631" w:rsidP="00B76631">
      <w:pPr>
        <w:pStyle w:val="CETBodytext"/>
      </w:pPr>
    </w:p>
    <w:p w14:paraId="5871CCAC" w14:textId="298E7B53" w:rsidR="001B1ED6" w:rsidRDefault="00DE2947" w:rsidP="001B1ED6">
      <w:pPr>
        <w:pStyle w:val="CETBodytext"/>
        <w:ind w:left="288" w:hanging="288"/>
      </w:pPr>
      <w:r w:rsidRPr="002264AA">
        <w:t xml:space="preserve">Bradford MM., 1976, A rapid and sensitive method for the quantification </w:t>
      </w:r>
      <w:r w:rsidR="00795A98">
        <w:t>of</w:t>
      </w:r>
      <w:r w:rsidRPr="002264AA">
        <w:t xml:space="preserve"> microgram quantities of protein-dye binding, Analytical Biochemestry, </w:t>
      </w:r>
      <w:r w:rsidR="00283D1D" w:rsidRPr="002264AA">
        <w:t>72</w:t>
      </w:r>
      <w:r w:rsidR="00F45AF3" w:rsidRPr="002264AA">
        <w:t>,</w:t>
      </w:r>
      <w:r w:rsidRPr="002264AA">
        <w:t xml:space="preserve"> 248-254</w:t>
      </w:r>
    </w:p>
    <w:p w14:paraId="74F2097A" w14:textId="0462806A" w:rsidR="001B1ED6" w:rsidRDefault="001B1ED6" w:rsidP="001B1ED6">
      <w:pPr>
        <w:pStyle w:val="CETBodytext"/>
        <w:ind w:left="288" w:hanging="288"/>
      </w:pPr>
    </w:p>
    <w:p w14:paraId="51E515FC" w14:textId="15F53C8E" w:rsidR="001B1ED6" w:rsidRPr="00200BDA" w:rsidRDefault="00ED7ED1" w:rsidP="001B1ED6">
      <w:pPr>
        <w:pStyle w:val="CETBodytext"/>
        <w:ind w:left="288" w:hanging="288"/>
      </w:pPr>
      <w:r w:rsidRPr="002264AA">
        <w:lastRenderedPageBreak/>
        <w:t>Biorad</w:t>
      </w:r>
      <w:r w:rsidR="00F45AF3" w:rsidRPr="002264AA">
        <w:t xml:space="preserve"> 2020. Introduction to protein electrophoresis.</w:t>
      </w:r>
      <w:r w:rsidRPr="002264AA">
        <w:t xml:space="preserve"> Available at</w:t>
      </w:r>
      <w:r w:rsidR="00F45AF3" w:rsidRPr="002264AA">
        <w:t xml:space="preserve"> www.bio-rad.com/en-us/applications-technologies/introduction-protein-electrophoresis?ID=LUSOVO47B</w:t>
      </w:r>
      <w:r w:rsidR="00F45AF3">
        <w:t xml:space="preserve"> </w:t>
      </w:r>
    </w:p>
    <w:p w14:paraId="6111B84C" w14:textId="6019A628" w:rsidR="004E498B" w:rsidRPr="00F45AF3" w:rsidRDefault="004E498B" w:rsidP="00E65B91">
      <w:pPr>
        <w:pStyle w:val="CETReferencetext"/>
      </w:pPr>
    </w:p>
    <w:p w14:paraId="0499ECCB" w14:textId="77777777" w:rsidR="009D3E4A" w:rsidRPr="00200BDA" w:rsidRDefault="009D3E4A" w:rsidP="00E65B91">
      <w:pPr>
        <w:pStyle w:val="CETReferencetext"/>
        <w:rPr>
          <w:rFonts w:eastAsia="Arial" w:cs="Arial"/>
          <w:szCs w:val="18"/>
        </w:rPr>
      </w:pPr>
      <w:bookmarkStart w:id="1" w:name="_Hlk97805204"/>
      <w:r w:rsidRPr="00200BDA">
        <w:rPr>
          <w:rFonts w:eastAsia="Arial" w:cs="Arial"/>
          <w:szCs w:val="18"/>
        </w:rPr>
        <w:t xml:space="preserve">Che M.R., Fauzi I.A., Siti F.Z., Ghazali N., Md I.R.,2016, Effects of culture conditions of immobilized recombinant </w:t>
      </w:r>
      <w:r w:rsidRPr="002264AA">
        <w:rPr>
          <w:rFonts w:eastAsia="Arial" w:cs="Arial"/>
          <w:i/>
          <w:iCs/>
          <w:szCs w:val="18"/>
        </w:rPr>
        <w:t>Escherichia coli</w:t>
      </w:r>
      <w:r w:rsidRPr="00200BDA">
        <w:rPr>
          <w:rFonts w:eastAsia="Arial" w:cs="Arial"/>
          <w:szCs w:val="18"/>
        </w:rPr>
        <w:t xml:space="preserve"> on cyclodextrin glucanotransferase (CGTase) excretion and cell stability, </w:t>
      </w:r>
      <w:r w:rsidRPr="002264AA">
        <w:rPr>
          <w:rFonts w:eastAsia="Arial" w:cs="Arial"/>
          <w:szCs w:val="18"/>
        </w:rPr>
        <w:t>Process Biochemistry</w:t>
      </w:r>
      <w:r w:rsidRPr="00200BDA">
        <w:rPr>
          <w:rFonts w:eastAsia="Arial" w:cs="Arial"/>
          <w:szCs w:val="18"/>
        </w:rPr>
        <w:t>, 51 (4), 474-483</w:t>
      </w:r>
    </w:p>
    <w:bookmarkEnd w:id="1"/>
    <w:p w14:paraId="0ACBAA32" w14:textId="77777777" w:rsidR="009D3E4A" w:rsidRPr="00200BDA" w:rsidRDefault="009D3E4A" w:rsidP="009D3034">
      <w:pPr>
        <w:pStyle w:val="CETReferencetext"/>
        <w:ind w:left="0" w:firstLine="0"/>
        <w:rPr>
          <w:rFonts w:eastAsia="Arial" w:cs="Arial"/>
          <w:szCs w:val="18"/>
        </w:rPr>
      </w:pPr>
    </w:p>
    <w:p w14:paraId="4F960058" w14:textId="322E63B1" w:rsidR="000603B8" w:rsidRPr="00200BDA" w:rsidRDefault="000603B8" w:rsidP="00E65B91">
      <w:pPr>
        <w:pStyle w:val="CETReferencetext"/>
        <w:rPr>
          <w:rFonts w:eastAsia="Arial" w:cs="Arial"/>
          <w:szCs w:val="18"/>
        </w:rPr>
      </w:pPr>
      <w:r w:rsidRPr="00200BDA">
        <w:rPr>
          <w:rFonts w:eastAsia="Arial" w:cs="Arial"/>
          <w:szCs w:val="18"/>
        </w:rPr>
        <w:t xml:space="preserve">Eppendorf., 2009. </w:t>
      </w:r>
      <w:r w:rsidRPr="00200BDA">
        <w:rPr>
          <w:rFonts w:eastAsia="Arial" w:cs="Arial"/>
          <w:i/>
          <w:szCs w:val="18"/>
        </w:rPr>
        <w:t>BioFlo®/CelliGen® 115</w:t>
      </w:r>
      <w:r w:rsidRPr="00200BDA">
        <w:rPr>
          <w:rFonts w:eastAsia="Arial" w:cs="Arial"/>
          <w:szCs w:val="18"/>
        </w:rPr>
        <w:t>. Advantage Business Media.</w:t>
      </w:r>
    </w:p>
    <w:p w14:paraId="6C4B0112" w14:textId="77777777" w:rsidR="00391484" w:rsidRPr="001E4BB1" w:rsidRDefault="00391484" w:rsidP="00391484">
      <w:pPr>
        <w:pStyle w:val="CETReferencetext"/>
        <w:rPr>
          <w:rFonts w:eastAsia="Arial" w:cs="Arial"/>
          <w:szCs w:val="18"/>
          <w:lang w:val="en-US"/>
        </w:rPr>
      </w:pPr>
    </w:p>
    <w:p w14:paraId="17E6A714" w14:textId="739858CC" w:rsidR="00391484" w:rsidRDefault="00391484" w:rsidP="008845D5">
      <w:pPr>
        <w:pStyle w:val="CETReferencetext"/>
        <w:rPr>
          <w:rFonts w:eastAsia="Arial" w:cs="Arial"/>
          <w:szCs w:val="18"/>
        </w:rPr>
      </w:pPr>
      <w:r>
        <w:rPr>
          <w:rFonts w:eastAsia="Arial" w:cs="Arial"/>
          <w:szCs w:val="18"/>
          <w:lang w:val="es-CO"/>
        </w:rPr>
        <w:t>Espinosa</w:t>
      </w:r>
      <w:r w:rsidRPr="005F3B72">
        <w:rPr>
          <w:rFonts w:eastAsia="Arial" w:cs="Arial"/>
          <w:szCs w:val="18"/>
          <w:lang w:val="es-CO"/>
        </w:rPr>
        <w:t xml:space="preserve">, </w:t>
      </w:r>
      <w:r>
        <w:rPr>
          <w:rFonts w:eastAsia="Arial" w:cs="Arial"/>
          <w:szCs w:val="18"/>
          <w:lang w:val="es-CO"/>
        </w:rPr>
        <w:t>R</w:t>
      </w:r>
      <w:r w:rsidRPr="005F3B72">
        <w:rPr>
          <w:rFonts w:eastAsia="Arial" w:cs="Arial"/>
          <w:szCs w:val="18"/>
          <w:lang w:val="es-CO"/>
        </w:rPr>
        <w:t xml:space="preserve">., </w:t>
      </w:r>
      <w:r>
        <w:rPr>
          <w:rFonts w:eastAsia="Arial" w:cs="Arial"/>
          <w:szCs w:val="18"/>
          <w:lang w:val="es-CO"/>
        </w:rPr>
        <w:t>García</w:t>
      </w:r>
      <w:r w:rsidRPr="005F3B72">
        <w:rPr>
          <w:rFonts w:eastAsia="Arial" w:cs="Arial"/>
          <w:szCs w:val="18"/>
          <w:lang w:val="es-CO"/>
        </w:rPr>
        <w:t>,</w:t>
      </w:r>
      <w:r w:rsidR="00B06E41">
        <w:rPr>
          <w:rFonts w:eastAsia="Arial" w:cs="Arial"/>
          <w:szCs w:val="18"/>
          <w:lang w:val="es-CO"/>
        </w:rPr>
        <w:t xml:space="preserve"> J</w:t>
      </w:r>
      <w:r w:rsidRPr="005F3B72">
        <w:rPr>
          <w:rFonts w:eastAsia="Arial" w:cs="Arial"/>
          <w:szCs w:val="18"/>
          <w:lang w:val="es-CO"/>
        </w:rPr>
        <w:t xml:space="preserve">., </w:t>
      </w:r>
      <w:r w:rsidR="00B06E41">
        <w:rPr>
          <w:rFonts w:eastAsia="Arial" w:cs="Arial"/>
          <w:szCs w:val="18"/>
          <w:lang w:val="es-CO"/>
        </w:rPr>
        <w:t>Narciandi</w:t>
      </w:r>
      <w:r w:rsidRPr="005F3B72">
        <w:rPr>
          <w:rFonts w:eastAsia="Arial" w:cs="Arial"/>
          <w:szCs w:val="18"/>
          <w:lang w:val="es-CO"/>
        </w:rPr>
        <w:t xml:space="preserve">, E., </w:t>
      </w:r>
      <w:r w:rsidR="00B06E41">
        <w:rPr>
          <w:rFonts w:eastAsia="Arial" w:cs="Arial"/>
          <w:szCs w:val="18"/>
          <w:lang w:val="es-CO"/>
        </w:rPr>
        <w:t xml:space="preserve">Silva </w:t>
      </w:r>
      <w:r w:rsidRPr="005F3B72">
        <w:rPr>
          <w:rFonts w:eastAsia="Arial" w:cs="Arial"/>
          <w:szCs w:val="18"/>
          <w:lang w:val="es-CO"/>
        </w:rPr>
        <w:t xml:space="preserve">R., </w:t>
      </w:r>
      <w:r w:rsidR="00B06E41">
        <w:rPr>
          <w:rFonts w:eastAsia="Arial" w:cs="Arial"/>
          <w:szCs w:val="18"/>
          <w:lang w:val="es-CO"/>
        </w:rPr>
        <w:t xml:space="preserve">Caballero </w:t>
      </w:r>
      <w:r w:rsidRPr="005F3B72">
        <w:rPr>
          <w:rFonts w:eastAsia="Arial" w:cs="Arial"/>
          <w:szCs w:val="18"/>
          <w:lang w:val="es-CO"/>
        </w:rPr>
        <w:t xml:space="preserve">, E., </w:t>
      </w:r>
      <w:r w:rsidR="008845D5">
        <w:rPr>
          <w:rFonts w:eastAsia="Arial" w:cs="Arial"/>
          <w:szCs w:val="18"/>
          <w:lang w:val="es-CO"/>
        </w:rPr>
        <w:t>Díaz H</w:t>
      </w:r>
      <w:r w:rsidRPr="005F3B72">
        <w:rPr>
          <w:rFonts w:eastAsia="Arial" w:cs="Arial"/>
          <w:szCs w:val="18"/>
          <w:lang w:val="es-CO"/>
        </w:rPr>
        <w:t xml:space="preserve">., </w:t>
      </w:r>
      <w:r w:rsidR="008845D5">
        <w:rPr>
          <w:rFonts w:eastAsia="Arial" w:cs="Arial"/>
          <w:szCs w:val="18"/>
          <w:lang w:val="es-CO"/>
        </w:rPr>
        <w:t>Musacchio</w:t>
      </w:r>
      <w:r w:rsidRPr="005F3B72">
        <w:rPr>
          <w:rFonts w:eastAsia="Arial" w:cs="Arial"/>
          <w:szCs w:val="18"/>
          <w:lang w:val="es-CO"/>
        </w:rPr>
        <w:t xml:space="preserve"> A</w:t>
      </w:r>
      <w:r w:rsidR="008845D5">
        <w:rPr>
          <w:rFonts w:eastAsia="Arial" w:cs="Arial"/>
          <w:szCs w:val="18"/>
          <w:lang w:val="es-CO"/>
        </w:rPr>
        <w:t xml:space="preserve">, </w:t>
      </w:r>
      <w:r w:rsidRPr="005F3B72">
        <w:rPr>
          <w:rFonts w:eastAsia="Arial" w:cs="Arial"/>
          <w:szCs w:val="18"/>
          <w:lang w:val="es-CO"/>
        </w:rPr>
        <w:t xml:space="preserve">2018. </w:t>
      </w:r>
      <w:r w:rsidRPr="00200BDA">
        <w:rPr>
          <w:rFonts w:eastAsia="Arial" w:cs="Arial"/>
          <w:szCs w:val="18"/>
        </w:rPr>
        <w:t xml:space="preserve">Scaling-up fermentation of </w:t>
      </w:r>
      <w:r w:rsidRPr="002264AA">
        <w:rPr>
          <w:rFonts w:eastAsia="Arial" w:cs="Arial"/>
          <w:i/>
          <w:iCs/>
          <w:szCs w:val="18"/>
        </w:rPr>
        <w:t>Escherichia coli</w:t>
      </w:r>
      <w:r w:rsidRPr="00200BDA">
        <w:rPr>
          <w:rFonts w:eastAsia="Arial" w:cs="Arial"/>
          <w:szCs w:val="18"/>
        </w:rPr>
        <w:t xml:space="preserve"> for production of recombinant P64k protein from Neisseria meningitidis. </w:t>
      </w:r>
      <w:r w:rsidRPr="00200BDA">
        <w:rPr>
          <w:rFonts w:eastAsia="Arial" w:cs="Arial"/>
          <w:i/>
          <w:iCs/>
          <w:szCs w:val="18"/>
        </w:rPr>
        <w:t>Electronic Journal of Biotechnology</w:t>
      </w:r>
      <w:r w:rsidRPr="00200BDA">
        <w:rPr>
          <w:rFonts w:eastAsia="Arial" w:cs="Arial"/>
          <w:szCs w:val="18"/>
        </w:rPr>
        <w:t>, 33, 29-35.</w:t>
      </w:r>
    </w:p>
    <w:p w14:paraId="36938D29" w14:textId="77777777" w:rsidR="00F13103" w:rsidRDefault="00F13103" w:rsidP="008845D5">
      <w:pPr>
        <w:pStyle w:val="CETReferencetext"/>
        <w:rPr>
          <w:rFonts w:eastAsia="Arial" w:cs="Arial"/>
          <w:szCs w:val="18"/>
        </w:rPr>
      </w:pPr>
    </w:p>
    <w:p w14:paraId="048D792B" w14:textId="2BFF78FF" w:rsidR="00F13103" w:rsidRPr="001E4BB1" w:rsidRDefault="00F13103" w:rsidP="008845D5">
      <w:pPr>
        <w:pStyle w:val="CETReferencetext"/>
        <w:rPr>
          <w:rFonts w:eastAsia="Arial" w:cs="Arial"/>
          <w:szCs w:val="18"/>
          <w:lang w:val="en-US"/>
        </w:rPr>
      </w:pPr>
      <w:r>
        <w:rPr>
          <w:rFonts w:eastAsia="Arial" w:cs="Arial"/>
          <w:szCs w:val="18"/>
        </w:rPr>
        <w:t xml:space="preserve">Falco F.C., Landi C., Paciello L., Zueco J., Parascandola P., </w:t>
      </w:r>
      <w:r w:rsidRPr="002264AA">
        <w:rPr>
          <w:rFonts w:eastAsia="Arial" w:cs="Arial"/>
          <w:szCs w:val="18"/>
        </w:rPr>
        <w:t>201</w:t>
      </w:r>
      <w:r w:rsidR="00F45AF3" w:rsidRPr="002264AA">
        <w:rPr>
          <w:rFonts w:eastAsia="Arial" w:cs="Arial"/>
          <w:szCs w:val="18"/>
        </w:rPr>
        <w:t>4</w:t>
      </w:r>
      <w:r w:rsidRPr="002264AA">
        <w:rPr>
          <w:rFonts w:eastAsia="Arial" w:cs="Arial"/>
          <w:szCs w:val="18"/>
        </w:rPr>
        <w:t>,</w:t>
      </w:r>
      <w:r>
        <w:rPr>
          <w:rFonts w:eastAsia="Arial" w:cs="Arial"/>
          <w:szCs w:val="18"/>
        </w:rPr>
        <w:t xml:space="preserve"> </w:t>
      </w:r>
      <w:r w:rsidR="002264AA">
        <w:rPr>
          <w:rFonts w:eastAsia="Arial" w:cs="Arial"/>
          <w:szCs w:val="18"/>
        </w:rPr>
        <w:t>Fed-batch</w:t>
      </w:r>
      <w:r>
        <w:rPr>
          <w:rFonts w:eastAsia="Arial" w:cs="Arial"/>
          <w:szCs w:val="18"/>
        </w:rPr>
        <w:t xml:space="preserve"> production of endoglucanase with a recombinant industrial stran of the yeast </w:t>
      </w:r>
      <w:r w:rsidRPr="002264AA">
        <w:rPr>
          <w:rFonts w:eastAsia="Arial" w:cs="Arial"/>
          <w:i/>
          <w:iCs/>
          <w:szCs w:val="18"/>
        </w:rPr>
        <w:t>Saccharomyces cerevisiae</w:t>
      </w:r>
      <w:r>
        <w:rPr>
          <w:rFonts w:eastAsia="Arial" w:cs="Arial"/>
          <w:szCs w:val="18"/>
        </w:rPr>
        <w:t>, Chemical Engineering Transactions, 38, 379-384.</w:t>
      </w:r>
    </w:p>
    <w:p w14:paraId="38B348D4" w14:textId="40B95179" w:rsidR="0099670B" w:rsidRPr="00F45AF3" w:rsidRDefault="0099670B" w:rsidP="00E65B91">
      <w:pPr>
        <w:pStyle w:val="CETReferencetext"/>
        <w:rPr>
          <w:rFonts w:eastAsia="Arial" w:cs="Arial"/>
          <w:szCs w:val="18"/>
          <w:lang w:val="en-US"/>
        </w:rPr>
      </w:pPr>
    </w:p>
    <w:p w14:paraId="334C8B06" w14:textId="75BE209E" w:rsidR="0099670B" w:rsidRPr="00200BDA" w:rsidRDefault="0099670B" w:rsidP="00E65B91">
      <w:pPr>
        <w:pStyle w:val="CETReferencetext"/>
        <w:rPr>
          <w:rFonts w:eastAsia="Arial" w:cs="Arial"/>
          <w:szCs w:val="18"/>
        </w:rPr>
      </w:pPr>
      <w:r w:rsidRPr="00200BDA">
        <w:rPr>
          <w:rFonts w:eastAsia="Arial" w:cs="Arial"/>
          <w:szCs w:val="18"/>
        </w:rPr>
        <w:t>Farazmandfar, T., Rafiei, A., Hashemi-Sotehoh, M. B., Valadan, R., Alavi, M., Moradian, F</w:t>
      </w:r>
      <w:r w:rsidR="004A5644">
        <w:rPr>
          <w:rFonts w:eastAsia="Arial" w:cs="Arial"/>
          <w:szCs w:val="18"/>
        </w:rPr>
        <w:t>,</w:t>
      </w:r>
      <w:r w:rsidRPr="00200BDA">
        <w:rPr>
          <w:rFonts w:eastAsia="Arial" w:cs="Arial"/>
          <w:szCs w:val="18"/>
        </w:rPr>
        <w:t xml:space="preserve"> 2013</w:t>
      </w:r>
      <w:r w:rsidR="005D35B8">
        <w:rPr>
          <w:rFonts w:eastAsia="Arial" w:cs="Arial"/>
          <w:szCs w:val="18"/>
        </w:rPr>
        <w:t>,</w:t>
      </w:r>
      <w:r w:rsidRPr="00200BDA">
        <w:rPr>
          <w:rFonts w:eastAsia="Arial" w:cs="Arial"/>
          <w:szCs w:val="18"/>
        </w:rPr>
        <w:t xml:space="preserve"> A simpliﬁed protocol for producing Taq DNA polymerase in biology laboratory. </w:t>
      </w:r>
      <w:r w:rsidRPr="00795A98">
        <w:rPr>
          <w:rFonts w:eastAsia="Arial" w:cs="Arial"/>
          <w:szCs w:val="18"/>
        </w:rPr>
        <w:t>Research in Molecular Medicine</w:t>
      </w:r>
      <w:r w:rsidRPr="00200BDA">
        <w:rPr>
          <w:rFonts w:eastAsia="Arial" w:cs="Arial"/>
          <w:szCs w:val="18"/>
        </w:rPr>
        <w:t>, 1(2), 23-26.</w:t>
      </w:r>
    </w:p>
    <w:p w14:paraId="75383FF8" w14:textId="77777777" w:rsidR="006073DD" w:rsidRPr="00200BDA" w:rsidRDefault="006073DD" w:rsidP="00E65B91">
      <w:pPr>
        <w:pStyle w:val="CETReferencetext"/>
        <w:rPr>
          <w:rFonts w:eastAsia="Arial" w:cs="Arial"/>
          <w:szCs w:val="18"/>
        </w:rPr>
      </w:pPr>
    </w:p>
    <w:p w14:paraId="3082B424" w14:textId="0A1BD894" w:rsidR="000603B8" w:rsidRPr="00200BDA" w:rsidRDefault="006073DD" w:rsidP="009D3E4A">
      <w:pPr>
        <w:pStyle w:val="CETReferencetext"/>
        <w:rPr>
          <w:rFonts w:eastAsia="Arial" w:cs="Arial"/>
          <w:szCs w:val="18"/>
        </w:rPr>
      </w:pPr>
      <w:r w:rsidRPr="002264AA">
        <w:rPr>
          <w:rFonts w:eastAsia="Arial" w:cs="Arial"/>
          <w:szCs w:val="18"/>
          <w:lang w:val="en-US"/>
        </w:rPr>
        <w:t>Ferralli, P.</w:t>
      </w:r>
      <w:r w:rsidR="00ED7ED1" w:rsidRPr="002264AA">
        <w:rPr>
          <w:rFonts w:eastAsia="Arial" w:cs="Arial"/>
          <w:szCs w:val="18"/>
          <w:lang w:val="en-US"/>
        </w:rPr>
        <w:t>,</w:t>
      </w:r>
      <w:r w:rsidRPr="002264AA">
        <w:rPr>
          <w:rFonts w:eastAsia="Arial" w:cs="Arial"/>
          <w:szCs w:val="18"/>
          <w:lang w:val="en-US"/>
        </w:rPr>
        <w:t xml:space="preserve"> </w:t>
      </w:r>
      <w:r w:rsidR="005D35B8" w:rsidRPr="002264AA">
        <w:rPr>
          <w:rFonts w:eastAsia="Arial" w:cs="Arial"/>
          <w:szCs w:val="18"/>
          <w:lang w:val="en-US"/>
        </w:rPr>
        <w:t>Egan</w:t>
      </w:r>
      <w:r w:rsidRPr="002264AA">
        <w:rPr>
          <w:rFonts w:eastAsia="Arial" w:cs="Arial"/>
          <w:szCs w:val="18"/>
          <w:lang w:val="en-US"/>
        </w:rPr>
        <w:t xml:space="preserve"> </w:t>
      </w:r>
      <w:r w:rsidR="00ED7ED1" w:rsidRPr="002264AA">
        <w:rPr>
          <w:rFonts w:eastAsia="Arial" w:cs="Arial"/>
          <w:szCs w:val="18"/>
          <w:lang w:val="en-US"/>
        </w:rPr>
        <w:t>J</w:t>
      </w:r>
      <w:r w:rsidRPr="002264AA">
        <w:rPr>
          <w:rFonts w:eastAsia="Arial" w:cs="Arial"/>
          <w:szCs w:val="18"/>
          <w:lang w:val="en-US"/>
        </w:rPr>
        <w:t>.</w:t>
      </w:r>
      <w:r w:rsidR="005D35B8" w:rsidRPr="002264AA">
        <w:rPr>
          <w:rFonts w:eastAsia="Arial" w:cs="Arial"/>
          <w:szCs w:val="18"/>
          <w:lang w:val="en-US"/>
        </w:rPr>
        <w:t xml:space="preserve"> D.</w:t>
      </w:r>
      <w:r w:rsidR="00ED7ED1" w:rsidRPr="002264AA">
        <w:rPr>
          <w:rFonts w:eastAsia="Arial" w:cs="Arial"/>
          <w:szCs w:val="18"/>
          <w:lang w:val="en-US"/>
        </w:rPr>
        <w:t>,</w:t>
      </w:r>
      <w:r w:rsidRPr="002264AA">
        <w:rPr>
          <w:rFonts w:eastAsia="Arial" w:cs="Arial"/>
          <w:szCs w:val="18"/>
          <w:lang w:val="en-US"/>
        </w:rPr>
        <w:t xml:space="preserve"> </w:t>
      </w:r>
      <w:r w:rsidR="005D35B8" w:rsidRPr="002264AA">
        <w:rPr>
          <w:rFonts w:eastAsia="Arial" w:cs="Arial"/>
          <w:szCs w:val="18"/>
          <w:lang w:val="en-US"/>
        </w:rPr>
        <w:t>Erickson,</w:t>
      </w:r>
      <w:r w:rsidRPr="002264AA">
        <w:rPr>
          <w:rFonts w:eastAsia="Arial" w:cs="Arial"/>
          <w:szCs w:val="18"/>
          <w:lang w:val="en-US"/>
        </w:rPr>
        <w:t xml:space="preserve"> </w:t>
      </w:r>
      <w:r w:rsidR="005D35B8" w:rsidRPr="002264AA">
        <w:rPr>
          <w:rFonts w:eastAsia="Arial" w:cs="Arial"/>
          <w:szCs w:val="18"/>
          <w:lang w:val="en-US"/>
        </w:rPr>
        <w:t>F. L.,</w:t>
      </w:r>
      <w:r w:rsidRPr="002264AA">
        <w:rPr>
          <w:rFonts w:eastAsia="Arial" w:cs="Arial"/>
          <w:szCs w:val="18"/>
          <w:lang w:val="en-US"/>
        </w:rPr>
        <w:t xml:space="preserve"> 200</w:t>
      </w:r>
      <w:r w:rsidR="00ED7ED1" w:rsidRPr="002264AA">
        <w:rPr>
          <w:rFonts w:eastAsia="Arial" w:cs="Arial"/>
          <w:szCs w:val="18"/>
          <w:lang w:val="en-US"/>
        </w:rPr>
        <w:t>7</w:t>
      </w:r>
      <w:r w:rsidR="005D35B8" w:rsidRPr="002264AA">
        <w:rPr>
          <w:rFonts w:eastAsia="Arial" w:cs="Arial"/>
          <w:szCs w:val="18"/>
          <w:lang w:val="en-US"/>
        </w:rPr>
        <w:t>,</w:t>
      </w:r>
      <w:r w:rsidRPr="002264AA">
        <w:rPr>
          <w:rFonts w:eastAsia="Arial" w:cs="Arial"/>
          <w:szCs w:val="18"/>
          <w:lang w:val="en-US"/>
        </w:rPr>
        <w:t xml:space="preserve"> </w:t>
      </w:r>
      <w:r w:rsidRPr="002264AA">
        <w:rPr>
          <w:rFonts w:eastAsia="Arial" w:cs="Arial"/>
          <w:szCs w:val="18"/>
        </w:rPr>
        <w:t>Mak</w:t>
      </w:r>
      <w:r w:rsidR="00ED7ED1" w:rsidRPr="002264AA">
        <w:rPr>
          <w:rFonts w:eastAsia="Arial" w:cs="Arial"/>
          <w:szCs w:val="18"/>
        </w:rPr>
        <w:t>i</w:t>
      </w:r>
      <w:r w:rsidRPr="002264AA">
        <w:rPr>
          <w:rFonts w:eastAsia="Arial" w:cs="Arial"/>
          <w:szCs w:val="18"/>
        </w:rPr>
        <w:t xml:space="preserve">ng Taq DNA polymerase in the undergraduate biology laboratory. </w:t>
      </w:r>
      <w:r w:rsidRPr="002264AA">
        <w:rPr>
          <w:rFonts w:eastAsia="Arial" w:cs="Arial"/>
          <w:i/>
          <w:iCs/>
          <w:szCs w:val="18"/>
        </w:rPr>
        <w:t>BIOS Journal</w:t>
      </w:r>
      <w:r w:rsidRPr="002264AA">
        <w:rPr>
          <w:rFonts w:eastAsia="Arial" w:cs="Arial"/>
          <w:szCs w:val="18"/>
        </w:rPr>
        <w:t>, 69-74.</w:t>
      </w:r>
    </w:p>
    <w:p w14:paraId="5FFDE0F3" w14:textId="2305223E" w:rsidR="00B32C9E" w:rsidRPr="00200BDA" w:rsidRDefault="00B32C9E" w:rsidP="003E3487">
      <w:pPr>
        <w:pStyle w:val="CETReferencetext"/>
        <w:ind w:left="0" w:firstLine="0"/>
        <w:rPr>
          <w:rFonts w:eastAsia="Arial" w:cs="Arial"/>
          <w:szCs w:val="18"/>
        </w:rPr>
      </w:pPr>
    </w:p>
    <w:p w14:paraId="3AEBCBBE" w14:textId="4A977F4B" w:rsidR="00B32C9E" w:rsidRPr="00200BDA" w:rsidRDefault="00B32C9E" w:rsidP="009D3E4A">
      <w:pPr>
        <w:pStyle w:val="CETReferencetext"/>
        <w:rPr>
          <w:rFonts w:eastAsia="Arial" w:cs="Arial"/>
          <w:szCs w:val="18"/>
        </w:rPr>
      </w:pPr>
      <w:r w:rsidRPr="00200BDA">
        <w:rPr>
          <w:rFonts w:eastAsia="Arial" w:cs="Arial"/>
          <w:szCs w:val="18"/>
        </w:rPr>
        <w:t>Kulkarni A. V., Badgandi S. V.,</w:t>
      </w:r>
      <w:r w:rsidR="0027052B">
        <w:rPr>
          <w:rFonts w:eastAsia="Arial" w:cs="Arial"/>
          <w:szCs w:val="18"/>
        </w:rPr>
        <w:t xml:space="preserve"> </w:t>
      </w:r>
      <w:r w:rsidRPr="00200BDA">
        <w:rPr>
          <w:rFonts w:eastAsia="Arial" w:cs="Arial"/>
          <w:szCs w:val="18"/>
        </w:rPr>
        <w:t>Joshi J. B.</w:t>
      </w:r>
      <w:r w:rsidR="00955BF9">
        <w:rPr>
          <w:rFonts w:eastAsia="Arial" w:cs="Arial"/>
          <w:szCs w:val="18"/>
        </w:rPr>
        <w:t xml:space="preserve">, </w:t>
      </w:r>
      <w:r w:rsidRPr="00200BDA">
        <w:rPr>
          <w:rFonts w:eastAsia="Arial" w:cs="Arial"/>
          <w:szCs w:val="18"/>
        </w:rPr>
        <w:t>2009</w:t>
      </w:r>
      <w:r w:rsidR="00955BF9">
        <w:rPr>
          <w:rFonts w:eastAsia="Arial" w:cs="Arial"/>
          <w:szCs w:val="18"/>
        </w:rPr>
        <w:t>,</w:t>
      </w:r>
      <w:r w:rsidRPr="00200BDA">
        <w:rPr>
          <w:rFonts w:eastAsia="Arial" w:cs="Arial"/>
          <w:szCs w:val="18"/>
        </w:rPr>
        <w:t xml:space="preserve"> Design of ring and spider type spargers for bubble column reactor: experimental measurements and CFD simulation of flow and weeping. </w:t>
      </w:r>
      <w:r w:rsidRPr="0027052B">
        <w:rPr>
          <w:rFonts w:eastAsia="Arial" w:cs="Arial"/>
          <w:szCs w:val="18"/>
        </w:rPr>
        <w:t>Chemical Engineering Research and Design</w:t>
      </w:r>
      <w:r w:rsidRPr="00200BDA">
        <w:rPr>
          <w:rFonts w:eastAsia="Arial" w:cs="Arial"/>
          <w:szCs w:val="18"/>
        </w:rPr>
        <w:t>, 87(12), 1612-1630.</w:t>
      </w:r>
    </w:p>
    <w:p w14:paraId="064E9125" w14:textId="77777777" w:rsidR="000603B8" w:rsidRPr="00996171" w:rsidRDefault="000603B8" w:rsidP="00E65B91">
      <w:pPr>
        <w:pStyle w:val="CETReferencetext"/>
        <w:rPr>
          <w:lang w:val="es-CO"/>
        </w:rPr>
      </w:pPr>
    </w:p>
    <w:p w14:paraId="6613EDA2" w14:textId="0F22E04E" w:rsidR="003F5091" w:rsidRPr="001E4BB1" w:rsidRDefault="003F5091" w:rsidP="00E65B91">
      <w:pPr>
        <w:pStyle w:val="CETReferencetext"/>
        <w:rPr>
          <w:lang w:val="en-US"/>
        </w:rPr>
      </w:pPr>
      <w:r w:rsidRPr="00200BDA">
        <w:t>Liu S</w:t>
      </w:r>
      <w:r w:rsidR="00BE6C12" w:rsidRPr="00200BDA">
        <w:t xml:space="preserve">., 2020, Bioreactor Design Operation, Chapter 17 in </w:t>
      </w:r>
      <w:r w:rsidR="00BE6C12" w:rsidRPr="00795A98">
        <w:t>Bioprocess Engineering</w:t>
      </w:r>
      <w:r w:rsidR="00BE6C12" w:rsidRPr="00200BDA">
        <w:t xml:space="preserve">, Third edition. </w:t>
      </w:r>
      <w:r w:rsidR="00BE6C12" w:rsidRPr="001E4BB1">
        <w:rPr>
          <w:lang w:val="en-US"/>
        </w:rPr>
        <w:t>ISBN 978-0-0444-63783-3.</w:t>
      </w:r>
    </w:p>
    <w:p w14:paraId="4803DC17" w14:textId="77777777" w:rsidR="000603B8" w:rsidRPr="001E4BB1" w:rsidRDefault="000603B8" w:rsidP="00E65B91">
      <w:pPr>
        <w:pStyle w:val="CETReferencetext"/>
        <w:rPr>
          <w:lang w:val="en-US"/>
        </w:rPr>
      </w:pPr>
    </w:p>
    <w:p w14:paraId="5AECC39C" w14:textId="3C364D2E" w:rsidR="00ED7FA5" w:rsidRPr="00ED7ED1" w:rsidRDefault="00ED7FA5" w:rsidP="00CD1B77">
      <w:pPr>
        <w:shd w:val="clear" w:color="auto" w:fill="FFFFFF"/>
        <w:spacing w:after="180" w:line="240" w:lineRule="atLeast"/>
        <w:rPr>
          <w:rFonts w:eastAsia="Arial" w:cs="Arial"/>
          <w:i/>
          <w:szCs w:val="18"/>
          <w:lang w:val="es-CO"/>
        </w:rPr>
      </w:pPr>
      <w:r w:rsidRPr="00ED7ED1">
        <w:rPr>
          <w:rFonts w:eastAsia="Arial" w:cs="Arial"/>
          <w:szCs w:val="18"/>
          <w:lang w:val="es-CO"/>
        </w:rPr>
        <w:t>M</w:t>
      </w:r>
      <w:r w:rsidR="00ED7ED1">
        <w:rPr>
          <w:rFonts w:eastAsia="Arial" w:cs="Arial"/>
          <w:szCs w:val="18"/>
          <w:lang w:val="es-CO"/>
        </w:rPr>
        <w:t>erck</w:t>
      </w:r>
      <w:r w:rsidRPr="00ED7ED1">
        <w:rPr>
          <w:rFonts w:eastAsia="Arial" w:cs="Arial"/>
          <w:szCs w:val="18"/>
          <w:lang w:val="es-CO"/>
        </w:rPr>
        <w:t>.</w:t>
      </w:r>
      <w:r w:rsidR="00F45AF3" w:rsidRPr="00ED7ED1">
        <w:rPr>
          <w:rFonts w:eastAsia="Arial" w:cs="Arial"/>
          <w:szCs w:val="18"/>
          <w:lang w:val="es-CO"/>
        </w:rPr>
        <w:t>, 2020</w:t>
      </w:r>
      <w:r w:rsidRPr="00ED7ED1">
        <w:rPr>
          <w:rFonts w:eastAsia="Arial" w:cs="Arial"/>
          <w:i/>
          <w:szCs w:val="18"/>
          <w:lang w:val="es-CO"/>
        </w:rPr>
        <w:t xml:space="preserve"> </w:t>
      </w:r>
      <w:r w:rsidRPr="00ED7ED1">
        <w:rPr>
          <w:rFonts w:eastAsia="Arial" w:cs="Arial"/>
          <w:iCs/>
          <w:szCs w:val="18"/>
          <w:lang w:val="es-CO"/>
        </w:rPr>
        <w:t>Caldo LB Miller</w:t>
      </w:r>
      <w:r w:rsidRPr="00ED7ED1">
        <w:rPr>
          <w:rFonts w:eastAsia="Arial" w:cs="Arial"/>
          <w:i/>
          <w:szCs w:val="18"/>
          <w:lang w:val="es-CO"/>
        </w:rPr>
        <w:t xml:space="preserve"> </w:t>
      </w:r>
      <w:hyperlink r:id="rId15" w:history="1">
        <w:r w:rsidRPr="00ED7ED1">
          <w:rPr>
            <w:rStyle w:val="Hipervnculo"/>
            <w:rFonts w:eastAsia="Arial" w:cs="Arial"/>
            <w:i/>
            <w:color w:val="auto"/>
            <w:szCs w:val="18"/>
            <w:u w:val="none"/>
            <w:lang w:val="es-CO"/>
          </w:rPr>
          <w:t>www.merckmillipore.com/CO/es/product/LB-broth-MILLER,MDA_CHEM-110285</w:t>
        </w:r>
      </w:hyperlink>
    </w:p>
    <w:p w14:paraId="711DC7B5" w14:textId="77777777" w:rsidR="009D3E4A" w:rsidRPr="00ED7ED1" w:rsidRDefault="009D3E4A" w:rsidP="009D3E4A">
      <w:pPr>
        <w:pStyle w:val="CETReferencetext"/>
        <w:rPr>
          <w:rFonts w:eastAsia="Arial" w:cs="Arial"/>
          <w:szCs w:val="18"/>
          <w:lang w:val="es-CO"/>
        </w:rPr>
      </w:pPr>
    </w:p>
    <w:p w14:paraId="76EA3705" w14:textId="2C7DDB4E" w:rsidR="009D3E4A" w:rsidRPr="00200BDA" w:rsidRDefault="009D3E4A" w:rsidP="009D3E4A">
      <w:pPr>
        <w:pStyle w:val="CETReferencetext"/>
        <w:rPr>
          <w:rFonts w:eastAsia="Arial" w:cs="Arial"/>
          <w:szCs w:val="18"/>
        </w:rPr>
      </w:pPr>
      <w:r w:rsidRPr="00200BDA">
        <w:rPr>
          <w:rFonts w:eastAsia="Arial" w:cs="Arial"/>
          <w:szCs w:val="18"/>
        </w:rPr>
        <w:t xml:space="preserve">Singh A.K., Shrivastava S., Kumar S., Pal V., Gopalan N.,2015, Batch Fermentation of Recombinant Burkholderia Intracellular Motility a Protein in </w:t>
      </w:r>
      <w:r w:rsidRPr="002264AA">
        <w:rPr>
          <w:rFonts w:eastAsia="Arial" w:cs="Arial"/>
          <w:i/>
          <w:iCs/>
          <w:szCs w:val="18"/>
        </w:rPr>
        <w:t>Escherichia coli</w:t>
      </w:r>
      <w:r w:rsidRPr="00200BDA">
        <w:rPr>
          <w:rFonts w:eastAsia="Arial" w:cs="Arial"/>
          <w:szCs w:val="18"/>
        </w:rPr>
        <w:t xml:space="preserve"> for the Diagnosis of Equine Glander. </w:t>
      </w:r>
      <w:r w:rsidRPr="00B16BDD">
        <w:rPr>
          <w:rFonts w:eastAsia="Arial" w:cs="Arial"/>
          <w:szCs w:val="18"/>
        </w:rPr>
        <w:t>Journal of Equine Veterinary Science</w:t>
      </w:r>
      <w:r w:rsidRPr="00200BDA">
        <w:rPr>
          <w:rFonts w:eastAsia="Arial" w:cs="Arial"/>
          <w:szCs w:val="18"/>
        </w:rPr>
        <w:t>, 35 (2), 124-129.</w:t>
      </w:r>
    </w:p>
    <w:p w14:paraId="7353064A" w14:textId="77777777" w:rsidR="00B32C9E" w:rsidRPr="00200BDA" w:rsidRDefault="00B32C9E" w:rsidP="009D3E4A">
      <w:pPr>
        <w:pStyle w:val="CETReferencetext"/>
        <w:rPr>
          <w:rFonts w:eastAsia="Arial" w:cs="Arial"/>
          <w:szCs w:val="18"/>
        </w:rPr>
      </w:pPr>
    </w:p>
    <w:p w14:paraId="37E465AB" w14:textId="594E9572" w:rsidR="00B32C9E" w:rsidRPr="00200BDA" w:rsidRDefault="00B32C9E" w:rsidP="009D3E4A">
      <w:pPr>
        <w:pStyle w:val="CETReferencetext"/>
        <w:rPr>
          <w:rFonts w:eastAsia="Arial" w:cs="Arial"/>
          <w:szCs w:val="18"/>
        </w:rPr>
      </w:pPr>
      <w:r w:rsidRPr="00200BDA">
        <w:rPr>
          <w:rFonts w:eastAsia="Arial" w:cs="Arial"/>
          <w:szCs w:val="18"/>
        </w:rPr>
        <w:t>Sørensen H. P.,</w:t>
      </w:r>
      <w:r w:rsidR="0027052B">
        <w:rPr>
          <w:rFonts w:eastAsia="Arial" w:cs="Arial"/>
          <w:szCs w:val="18"/>
        </w:rPr>
        <w:t xml:space="preserve"> </w:t>
      </w:r>
      <w:r w:rsidRPr="00200BDA">
        <w:rPr>
          <w:rFonts w:eastAsia="Arial" w:cs="Arial"/>
          <w:szCs w:val="18"/>
        </w:rPr>
        <w:t>Mortensen K. K.</w:t>
      </w:r>
      <w:r w:rsidR="00955BF9">
        <w:rPr>
          <w:rFonts w:eastAsia="Arial" w:cs="Arial"/>
          <w:szCs w:val="18"/>
        </w:rPr>
        <w:t>,</w:t>
      </w:r>
      <w:r w:rsidRPr="00200BDA">
        <w:rPr>
          <w:rFonts w:eastAsia="Arial" w:cs="Arial"/>
          <w:szCs w:val="18"/>
        </w:rPr>
        <w:t xml:space="preserve"> 2005</w:t>
      </w:r>
      <w:r w:rsidR="00955BF9">
        <w:rPr>
          <w:rFonts w:eastAsia="Arial" w:cs="Arial"/>
          <w:szCs w:val="18"/>
        </w:rPr>
        <w:t>,</w:t>
      </w:r>
      <w:r w:rsidRPr="00200BDA">
        <w:rPr>
          <w:rFonts w:eastAsia="Arial" w:cs="Arial"/>
          <w:szCs w:val="18"/>
        </w:rPr>
        <w:t xml:space="preserve"> Soluble expression of recombinant proteins in the cytoplasm of </w:t>
      </w:r>
      <w:r w:rsidRPr="002264AA">
        <w:rPr>
          <w:rFonts w:eastAsia="Arial" w:cs="Arial"/>
          <w:i/>
          <w:iCs/>
          <w:szCs w:val="18"/>
        </w:rPr>
        <w:t>Escherichia coli</w:t>
      </w:r>
      <w:r w:rsidRPr="002264AA">
        <w:rPr>
          <w:rFonts w:eastAsia="Arial" w:cs="Arial"/>
          <w:szCs w:val="18"/>
        </w:rPr>
        <w:t>.</w:t>
      </w:r>
      <w:r w:rsidRPr="00200BDA">
        <w:rPr>
          <w:rFonts w:eastAsia="Arial" w:cs="Arial"/>
          <w:szCs w:val="18"/>
        </w:rPr>
        <w:t xml:space="preserve"> </w:t>
      </w:r>
      <w:r w:rsidRPr="002264AA">
        <w:rPr>
          <w:rFonts w:eastAsia="Arial" w:cs="Arial"/>
          <w:szCs w:val="18"/>
        </w:rPr>
        <w:t>Microbial cell factories</w:t>
      </w:r>
      <w:r w:rsidRPr="00200BDA">
        <w:rPr>
          <w:rFonts w:eastAsia="Arial" w:cs="Arial"/>
          <w:szCs w:val="18"/>
        </w:rPr>
        <w:t>, 4(1), 1-8.</w:t>
      </w:r>
    </w:p>
    <w:p w14:paraId="7AA89902" w14:textId="77777777" w:rsidR="009D3E4A" w:rsidRPr="00200BDA" w:rsidRDefault="009D3E4A" w:rsidP="009D3E4A">
      <w:pPr>
        <w:pStyle w:val="CETReferencetext"/>
        <w:rPr>
          <w:rFonts w:eastAsia="Arial" w:cs="Arial"/>
          <w:szCs w:val="18"/>
        </w:rPr>
      </w:pPr>
    </w:p>
    <w:p w14:paraId="04F40F38" w14:textId="3181F49C" w:rsidR="003B489E" w:rsidRDefault="0029001A" w:rsidP="00856D24">
      <w:pPr>
        <w:pStyle w:val="CETReferencetext"/>
        <w:rPr>
          <w:rFonts w:eastAsia="Arial" w:cs="Arial"/>
          <w:szCs w:val="18"/>
        </w:rPr>
      </w:pPr>
      <w:r w:rsidRPr="00200BDA">
        <w:rPr>
          <w:rFonts w:eastAsia="Arial" w:cs="Arial"/>
          <w:szCs w:val="18"/>
        </w:rPr>
        <w:t>Sung-Gun K and Jong-Tae P</w:t>
      </w:r>
      <w:r w:rsidR="004700F3" w:rsidRPr="00200BDA">
        <w:rPr>
          <w:rFonts w:eastAsia="Arial" w:cs="Arial"/>
          <w:szCs w:val="18"/>
        </w:rPr>
        <w:t xml:space="preserve">.,2014, Production of DNA polymerase from Thermus aquaticus in recombinant </w:t>
      </w:r>
      <w:r w:rsidR="004700F3" w:rsidRPr="003E3487">
        <w:rPr>
          <w:rFonts w:eastAsia="Arial" w:cs="Arial"/>
          <w:i/>
          <w:iCs/>
          <w:szCs w:val="18"/>
        </w:rPr>
        <w:t>Escherichia coli</w:t>
      </w:r>
      <w:r w:rsidR="009D3E4A" w:rsidRPr="00200BDA">
        <w:rPr>
          <w:rFonts w:eastAsia="Arial" w:cs="Arial"/>
          <w:szCs w:val="18"/>
        </w:rPr>
        <w:t>.</w:t>
      </w:r>
      <w:r w:rsidR="004700F3" w:rsidRPr="00200BDA">
        <w:rPr>
          <w:rFonts w:eastAsia="Arial" w:cs="Arial"/>
          <w:szCs w:val="18"/>
        </w:rPr>
        <w:t xml:space="preserve"> </w:t>
      </w:r>
      <w:r w:rsidR="004700F3" w:rsidRPr="00B16BDD">
        <w:rPr>
          <w:rFonts w:eastAsia="Arial" w:cs="Arial"/>
          <w:szCs w:val="18"/>
        </w:rPr>
        <w:t>Korean Journal of Agricultural Science</w:t>
      </w:r>
      <w:r w:rsidR="004700F3" w:rsidRPr="00200BDA">
        <w:rPr>
          <w:rFonts w:eastAsia="Arial" w:cs="Arial"/>
          <w:szCs w:val="18"/>
        </w:rPr>
        <w:t>, 41(3), 245-249.</w:t>
      </w:r>
    </w:p>
    <w:p w14:paraId="6191DC43" w14:textId="77777777" w:rsidR="004A5644" w:rsidRDefault="004A5644" w:rsidP="00856D24">
      <w:pPr>
        <w:pStyle w:val="CETReferencetext"/>
        <w:rPr>
          <w:rFonts w:eastAsia="Arial" w:cs="Arial"/>
          <w:szCs w:val="18"/>
        </w:rPr>
      </w:pPr>
    </w:p>
    <w:p w14:paraId="3F78D827" w14:textId="05F0E424" w:rsidR="00C85933" w:rsidRPr="00C85933" w:rsidRDefault="00C85933" w:rsidP="00856D24">
      <w:pPr>
        <w:pStyle w:val="CETReferencetext"/>
        <w:rPr>
          <w:rFonts w:eastAsia="Arial" w:cs="Arial"/>
          <w:szCs w:val="18"/>
        </w:rPr>
      </w:pPr>
      <w:r>
        <w:rPr>
          <w:rFonts w:eastAsia="Arial" w:cs="Arial"/>
          <w:szCs w:val="18"/>
        </w:rPr>
        <w:t xml:space="preserve">Tan J.S., Abbasiliasi S., Tam J.Y., Tang T.K, Lee Y-Y., Ariff A.B, 2018, Microtiter miniature shaken bioreactor system as a scale-down model for process development of production of therapeutic alpha-interferon2b by recombinant </w:t>
      </w:r>
      <w:r w:rsidR="003A5357" w:rsidRPr="003A5357">
        <w:rPr>
          <w:rFonts w:eastAsia="Arial" w:cs="Arial"/>
          <w:i/>
          <w:iCs/>
          <w:szCs w:val="18"/>
        </w:rPr>
        <w:t>Escherichia</w:t>
      </w:r>
      <w:r w:rsidRPr="003A5357">
        <w:rPr>
          <w:rFonts w:eastAsia="Arial" w:cs="Arial"/>
          <w:i/>
          <w:iCs/>
          <w:szCs w:val="18"/>
        </w:rPr>
        <w:t xml:space="preserve"> coli</w:t>
      </w:r>
      <w:r w:rsidRPr="003A5357">
        <w:rPr>
          <w:rFonts w:eastAsia="Arial" w:cs="Arial"/>
          <w:szCs w:val="18"/>
        </w:rPr>
        <w:t>,</w:t>
      </w:r>
      <w:r>
        <w:rPr>
          <w:rFonts w:eastAsia="Arial" w:cs="Arial"/>
          <w:szCs w:val="18"/>
        </w:rPr>
        <w:t xml:space="preserve"> BMC Microbiology </w:t>
      </w:r>
      <w:r w:rsidR="004A5644">
        <w:rPr>
          <w:rFonts w:eastAsia="Arial" w:cs="Arial"/>
          <w:szCs w:val="18"/>
        </w:rPr>
        <w:t>18:3</w:t>
      </w:r>
    </w:p>
    <w:p w14:paraId="59312410" w14:textId="506D58E5" w:rsidR="00956C41" w:rsidRDefault="00956C41" w:rsidP="00856D24">
      <w:pPr>
        <w:pStyle w:val="CETReferencetext"/>
        <w:rPr>
          <w:rFonts w:eastAsia="Arial" w:cs="Arial"/>
          <w:szCs w:val="18"/>
        </w:rPr>
      </w:pPr>
    </w:p>
    <w:p w14:paraId="5EFF1628" w14:textId="3EBCC367" w:rsidR="00956C41" w:rsidRDefault="00956C41" w:rsidP="00856D24">
      <w:pPr>
        <w:pStyle w:val="CETReferencetext"/>
        <w:rPr>
          <w:rFonts w:eastAsia="Arial" w:cs="Arial"/>
          <w:szCs w:val="18"/>
        </w:rPr>
      </w:pPr>
    </w:p>
    <w:p w14:paraId="6AA11ADC" w14:textId="41905EF6" w:rsidR="00E43F9B" w:rsidRDefault="00E43F9B" w:rsidP="00856D24">
      <w:pPr>
        <w:pStyle w:val="CETReferencetext"/>
        <w:rPr>
          <w:rFonts w:eastAsia="Arial" w:cs="Arial"/>
          <w:szCs w:val="18"/>
        </w:rPr>
      </w:pPr>
    </w:p>
    <w:p w14:paraId="5A97D291" w14:textId="0D75DE4B" w:rsidR="00E43F9B" w:rsidRDefault="00E43F9B" w:rsidP="00856D24">
      <w:pPr>
        <w:pStyle w:val="CETReferencetext"/>
        <w:rPr>
          <w:rFonts w:eastAsia="Arial" w:cs="Arial"/>
          <w:szCs w:val="18"/>
        </w:rPr>
      </w:pPr>
    </w:p>
    <w:p w14:paraId="7DDDA002" w14:textId="3A5078D8" w:rsidR="00E43F9B" w:rsidRDefault="00E43F9B" w:rsidP="00856D24">
      <w:pPr>
        <w:pStyle w:val="CETReferencetext"/>
        <w:rPr>
          <w:rFonts w:eastAsia="Arial" w:cs="Arial"/>
          <w:szCs w:val="18"/>
        </w:rPr>
      </w:pPr>
    </w:p>
    <w:p w14:paraId="3C38C3B8" w14:textId="68B94E18" w:rsidR="00E43F9B" w:rsidRDefault="00E43F9B" w:rsidP="00856D24">
      <w:pPr>
        <w:pStyle w:val="CETReferencetext"/>
        <w:rPr>
          <w:rFonts w:eastAsia="Arial" w:cs="Arial"/>
          <w:szCs w:val="18"/>
        </w:rPr>
      </w:pPr>
    </w:p>
    <w:p w14:paraId="27F5F046" w14:textId="210F6315" w:rsidR="00E43F9B" w:rsidRDefault="00E43F9B" w:rsidP="00856D24">
      <w:pPr>
        <w:pStyle w:val="CETReferencetext"/>
        <w:rPr>
          <w:rFonts w:eastAsia="Arial" w:cs="Arial"/>
          <w:szCs w:val="18"/>
        </w:rPr>
      </w:pPr>
    </w:p>
    <w:p w14:paraId="6658D233" w14:textId="7884E9DB" w:rsidR="00E43F9B" w:rsidRDefault="00E43F9B" w:rsidP="00856D24">
      <w:pPr>
        <w:pStyle w:val="CETReferencetext"/>
        <w:rPr>
          <w:rFonts w:eastAsia="Arial" w:cs="Arial"/>
          <w:szCs w:val="18"/>
        </w:rPr>
      </w:pPr>
    </w:p>
    <w:p w14:paraId="1E0C7604" w14:textId="77777777" w:rsidR="00E43F9B" w:rsidRDefault="00E43F9B" w:rsidP="00856D24">
      <w:pPr>
        <w:pStyle w:val="CETReferencetext"/>
        <w:rPr>
          <w:rFonts w:eastAsia="Arial" w:cs="Arial"/>
          <w:szCs w:val="18"/>
        </w:rPr>
      </w:pPr>
    </w:p>
    <w:p w14:paraId="3C854806" w14:textId="2B4E6475" w:rsidR="00264E69" w:rsidRDefault="00264E69" w:rsidP="00856D24">
      <w:pPr>
        <w:pStyle w:val="CETReferencetext"/>
      </w:pPr>
    </w:p>
    <w:p w14:paraId="4B622862" w14:textId="7DAD7CA1" w:rsidR="00264E69" w:rsidRDefault="00264E69" w:rsidP="00856D24">
      <w:pPr>
        <w:pStyle w:val="CETReferencetext"/>
      </w:pPr>
    </w:p>
    <w:p w14:paraId="70291E14" w14:textId="03933A08" w:rsidR="00264E69" w:rsidRDefault="00264E69" w:rsidP="00856D24">
      <w:pPr>
        <w:pStyle w:val="CETReferencetext"/>
      </w:pPr>
    </w:p>
    <w:sectPr w:rsidR="00264E6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1E13" w14:textId="77777777" w:rsidR="0003505E" w:rsidRDefault="0003505E" w:rsidP="004F5E36">
      <w:r>
        <w:separator/>
      </w:r>
    </w:p>
  </w:endnote>
  <w:endnote w:type="continuationSeparator" w:id="0">
    <w:p w14:paraId="52B6F5F3" w14:textId="77777777" w:rsidR="0003505E" w:rsidRDefault="000350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9D67" w14:textId="77777777" w:rsidR="0003505E" w:rsidRDefault="0003505E" w:rsidP="004F5E36">
      <w:r>
        <w:separator/>
      </w:r>
    </w:p>
  </w:footnote>
  <w:footnote w:type="continuationSeparator" w:id="0">
    <w:p w14:paraId="655A8809" w14:textId="77777777" w:rsidR="0003505E" w:rsidRDefault="0003505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8BC2B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2"/>
    </w:lvlOverride>
    <w:lvlOverride w:ilvl="2">
      <w:startOverride w:val="4"/>
    </w:lvlOverride>
  </w:num>
  <w:num w:numId="24">
    <w:abstractNumId w:val="10"/>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3"/>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505E"/>
    <w:rsid w:val="00043409"/>
    <w:rsid w:val="00051566"/>
    <w:rsid w:val="000603B8"/>
    <w:rsid w:val="00062A9A"/>
    <w:rsid w:val="00065058"/>
    <w:rsid w:val="00071BA1"/>
    <w:rsid w:val="0008633C"/>
    <w:rsid w:val="00086C39"/>
    <w:rsid w:val="000A03B2"/>
    <w:rsid w:val="000C1392"/>
    <w:rsid w:val="000D0268"/>
    <w:rsid w:val="000D34BE"/>
    <w:rsid w:val="000D4731"/>
    <w:rsid w:val="000E102F"/>
    <w:rsid w:val="000E36F1"/>
    <w:rsid w:val="000E3A73"/>
    <w:rsid w:val="000E414A"/>
    <w:rsid w:val="000F093C"/>
    <w:rsid w:val="000F42A9"/>
    <w:rsid w:val="000F5A6B"/>
    <w:rsid w:val="000F787B"/>
    <w:rsid w:val="0012091F"/>
    <w:rsid w:val="00126BC2"/>
    <w:rsid w:val="001308B6"/>
    <w:rsid w:val="0013121F"/>
    <w:rsid w:val="00131FE6"/>
    <w:rsid w:val="0013263F"/>
    <w:rsid w:val="001331DF"/>
    <w:rsid w:val="00134DE4"/>
    <w:rsid w:val="0014034D"/>
    <w:rsid w:val="00144D16"/>
    <w:rsid w:val="00150E59"/>
    <w:rsid w:val="00152DE3"/>
    <w:rsid w:val="001568F8"/>
    <w:rsid w:val="00164CF9"/>
    <w:rsid w:val="001667A6"/>
    <w:rsid w:val="0017479C"/>
    <w:rsid w:val="00181C8B"/>
    <w:rsid w:val="00182798"/>
    <w:rsid w:val="00184AD6"/>
    <w:rsid w:val="00194259"/>
    <w:rsid w:val="001A4AF7"/>
    <w:rsid w:val="001B0349"/>
    <w:rsid w:val="001B1E93"/>
    <w:rsid w:val="001B1ED6"/>
    <w:rsid w:val="001B65C1"/>
    <w:rsid w:val="001C684B"/>
    <w:rsid w:val="001C6D56"/>
    <w:rsid w:val="001D0CFB"/>
    <w:rsid w:val="001D21AF"/>
    <w:rsid w:val="001D53FC"/>
    <w:rsid w:val="001E4BB1"/>
    <w:rsid w:val="001F42A5"/>
    <w:rsid w:val="001F7B9D"/>
    <w:rsid w:val="00200BDA"/>
    <w:rsid w:val="00201464"/>
    <w:rsid w:val="00201C93"/>
    <w:rsid w:val="002224B4"/>
    <w:rsid w:val="002264AA"/>
    <w:rsid w:val="00232386"/>
    <w:rsid w:val="002447EF"/>
    <w:rsid w:val="00251550"/>
    <w:rsid w:val="00263B05"/>
    <w:rsid w:val="00264E69"/>
    <w:rsid w:val="00265BC3"/>
    <w:rsid w:val="00265D18"/>
    <w:rsid w:val="0027052B"/>
    <w:rsid w:val="0027221A"/>
    <w:rsid w:val="0027300F"/>
    <w:rsid w:val="00275997"/>
    <w:rsid w:val="00275B61"/>
    <w:rsid w:val="00280FAF"/>
    <w:rsid w:val="00282656"/>
    <w:rsid w:val="00283D1D"/>
    <w:rsid w:val="0029001A"/>
    <w:rsid w:val="00296B83"/>
    <w:rsid w:val="002A1F53"/>
    <w:rsid w:val="002A762E"/>
    <w:rsid w:val="002B4015"/>
    <w:rsid w:val="002B78CE"/>
    <w:rsid w:val="002C2FB6"/>
    <w:rsid w:val="002E4154"/>
    <w:rsid w:val="002E4D07"/>
    <w:rsid w:val="002E5FA7"/>
    <w:rsid w:val="002F3309"/>
    <w:rsid w:val="003008CE"/>
    <w:rsid w:val="003009B7"/>
    <w:rsid w:val="00300E56"/>
    <w:rsid w:val="0030469C"/>
    <w:rsid w:val="00321CA6"/>
    <w:rsid w:val="00323763"/>
    <w:rsid w:val="003301FA"/>
    <w:rsid w:val="00334C09"/>
    <w:rsid w:val="00347DB5"/>
    <w:rsid w:val="003646F9"/>
    <w:rsid w:val="003723D4"/>
    <w:rsid w:val="00373D73"/>
    <w:rsid w:val="00381905"/>
    <w:rsid w:val="00384CC8"/>
    <w:rsid w:val="0038626F"/>
    <w:rsid w:val="003871FD"/>
    <w:rsid w:val="00391270"/>
    <w:rsid w:val="00391484"/>
    <w:rsid w:val="003947DE"/>
    <w:rsid w:val="00395069"/>
    <w:rsid w:val="0039509A"/>
    <w:rsid w:val="003A1E30"/>
    <w:rsid w:val="003A2829"/>
    <w:rsid w:val="003A5357"/>
    <w:rsid w:val="003A7D1C"/>
    <w:rsid w:val="003B304B"/>
    <w:rsid w:val="003B3146"/>
    <w:rsid w:val="003B489E"/>
    <w:rsid w:val="003C4E46"/>
    <w:rsid w:val="003D3FB7"/>
    <w:rsid w:val="003E2590"/>
    <w:rsid w:val="003E3487"/>
    <w:rsid w:val="003F015E"/>
    <w:rsid w:val="003F5091"/>
    <w:rsid w:val="00400414"/>
    <w:rsid w:val="00402AD9"/>
    <w:rsid w:val="004140E9"/>
    <w:rsid w:val="0041446B"/>
    <w:rsid w:val="00431A56"/>
    <w:rsid w:val="0044071E"/>
    <w:rsid w:val="00442017"/>
    <w:rsid w:val="00442F96"/>
    <w:rsid w:val="0044329C"/>
    <w:rsid w:val="00453E24"/>
    <w:rsid w:val="00454EDE"/>
    <w:rsid w:val="00457456"/>
    <w:rsid w:val="004577FE"/>
    <w:rsid w:val="00457B9C"/>
    <w:rsid w:val="0046164A"/>
    <w:rsid w:val="004628D2"/>
    <w:rsid w:val="00462DCD"/>
    <w:rsid w:val="004648AD"/>
    <w:rsid w:val="004700F3"/>
    <w:rsid w:val="004703A9"/>
    <w:rsid w:val="004760DE"/>
    <w:rsid w:val="004763D7"/>
    <w:rsid w:val="004837CD"/>
    <w:rsid w:val="004927E4"/>
    <w:rsid w:val="004A004E"/>
    <w:rsid w:val="004A0FA8"/>
    <w:rsid w:val="004A24CF"/>
    <w:rsid w:val="004A5644"/>
    <w:rsid w:val="004A7B63"/>
    <w:rsid w:val="004B6324"/>
    <w:rsid w:val="004B6FB3"/>
    <w:rsid w:val="004C3D1D"/>
    <w:rsid w:val="004C7913"/>
    <w:rsid w:val="004E063D"/>
    <w:rsid w:val="004E498B"/>
    <w:rsid w:val="004E4DD6"/>
    <w:rsid w:val="004F5E36"/>
    <w:rsid w:val="00507B47"/>
    <w:rsid w:val="00507BEF"/>
    <w:rsid w:val="00507C71"/>
    <w:rsid w:val="00507CC9"/>
    <w:rsid w:val="005119A5"/>
    <w:rsid w:val="00520BFE"/>
    <w:rsid w:val="0052176F"/>
    <w:rsid w:val="005278B7"/>
    <w:rsid w:val="00530EB7"/>
    <w:rsid w:val="00532016"/>
    <w:rsid w:val="005346C8"/>
    <w:rsid w:val="00543E7D"/>
    <w:rsid w:val="00547A68"/>
    <w:rsid w:val="005526D4"/>
    <w:rsid w:val="005531C9"/>
    <w:rsid w:val="00570C43"/>
    <w:rsid w:val="00571CF2"/>
    <w:rsid w:val="00595B08"/>
    <w:rsid w:val="005A2AB6"/>
    <w:rsid w:val="005B2110"/>
    <w:rsid w:val="005B61E6"/>
    <w:rsid w:val="005B6456"/>
    <w:rsid w:val="005C77E1"/>
    <w:rsid w:val="005D35B8"/>
    <w:rsid w:val="005D6651"/>
    <w:rsid w:val="005D668A"/>
    <w:rsid w:val="005D6A2F"/>
    <w:rsid w:val="005E1A82"/>
    <w:rsid w:val="005E5671"/>
    <w:rsid w:val="005E617F"/>
    <w:rsid w:val="005E794C"/>
    <w:rsid w:val="005F0A28"/>
    <w:rsid w:val="005F0D74"/>
    <w:rsid w:val="005F0E5E"/>
    <w:rsid w:val="005F3B72"/>
    <w:rsid w:val="00600535"/>
    <w:rsid w:val="006031E7"/>
    <w:rsid w:val="006073DD"/>
    <w:rsid w:val="00610CD6"/>
    <w:rsid w:val="00620DEE"/>
    <w:rsid w:val="00621F92"/>
    <w:rsid w:val="0062280A"/>
    <w:rsid w:val="00625639"/>
    <w:rsid w:val="00631B33"/>
    <w:rsid w:val="0064184D"/>
    <w:rsid w:val="006422CC"/>
    <w:rsid w:val="006458A3"/>
    <w:rsid w:val="00660E3E"/>
    <w:rsid w:val="00662E74"/>
    <w:rsid w:val="0067425C"/>
    <w:rsid w:val="00680C23"/>
    <w:rsid w:val="0068429C"/>
    <w:rsid w:val="00693766"/>
    <w:rsid w:val="00695FD8"/>
    <w:rsid w:val="0069606F"/>
    <w:rsid w:val="006A055B"/>
    <w:rsid w:val="006A0CBA"/>
    <w:rsid w:val="006A3281"/>
    <w:rsid w:val="006B4888"/>
    <w:rsid w:val="006B7970"/>
    <w:rsid w:val="006C2E45"/>
    <w:rsid w:val="006C359C"/>
    <w:rsid w:val="006C5579"/>
    <w:rsid w:val="006D26CC"/>
    <w:rsid w:val="006D6E8B"/>
    <w:rsid w:val="006E737D"/>
    <w:rsid w:val="0070523D"/>
    <w:rsid w:val="00713973"/>
    <w:rsid w:val="00715481"/>
    <w:rsid w:val="00720A24"/>
    <w:rsid w:val="00732386"/>
    <w:rsid w:val="0073514D"/>
    <w:rsid w:val="007447F3"/>
    <w:rsid w:val="0075499F"/>
    <w:rsid w:val="007661C8"/>
    <w:rsid w:val="0077098D"/>
    <w:rsid w:val="00772D2E"/>
    <w:rsid w:val="007922C4"/>
    <w:rsid w:val="007931FA"/>
    <w:rsid w:val="00795A98"/>
    <w:rsid w:val="007A4861"/>
    <w:rsid w:val="007A7BBA"/>
    <w:rsid w:val="007B0C50"/>
    <w:rsid w:val="007B3992"/>
    <w:rsid w:val="007B3DDE"/>
    <w:rsid w:val="007B48F9"/>
    <w:rsid w:val="007B4FA4"/>
    <w:rsid w:val="007C1A43"/>
    <w:rsid w:val="007E49F3"/>
    <w:rsid w:val="0080013E"/>
    <w:rsid w:val="00813288"/>
    <w:rsid w:val="008168FC"/>
    <w:rsid w:val="00830996"/>
    <w:rsid w:val="008345F1"/>
    <w:rsid w:val="0084229C"/>
    <w:rsid w:val="00856D24"/>
    <w:rsid w:val="00864A6C"/>
    <w:rsid w:val="00865B07"/>
    <w:rsid w:val="008667EA"/>
    <w:rsid w:val="0087637F"/>
    <w:rsid w:val="008838CA"/>
    <w:rsid w:val="00883E8F"/>
    <w:rsid w:val="008845D5"/>
    <w:rsid w:val="0088515B"/>
    <w:rsid w:val="00892AD5"/>
    <w:rsid w:val="008A1512"/>
    <w:rsid w:val="008B2B70"/>
    <w:rsid w:val="008D32B9"/>
    <w:rsid w:val="008D433B"/>
    <w:rsid w:val="008E566E"/>
    <w:rsid w:val="008E793B"/>
    <w:rsid w:val="0090161A"/>
    <w:rsid w:val="00901EB6"/>
    <w:rsid w:val="00904C62"/>
    <w:rsid w:val="00906B55"/>
    <w:rsid w:val="0091135F"/>
    <w:rsid w:val="00912FF6"/>
    <w:rsid w:val="00922BA8"/>
    <w:rsid w:val="00924DAC"/>
    <w:rsid w:val="0092537D"/>
    <w:rsid w:val="00926BCF"/>
    <w:rsid w:val="00927058"/>
    <w:rsid w:val="009278E8"/>
    <w:rsid w:val="0094212A"/>
    <w:rsid w:val="00942750"/>
    <w:rsid w:val="0094459A"/>
    <w:rsid w:val="009450CE"/>
    <w:rsid w:val="00947179"/>
    <w:rsid w:val="0095164B"/>
    <w:rsid w:val="00951EAD"/>
    <w:rsid w:val="00954090"/>
    <w:rsid w:val="00955BF9"/>
    <w:rsid w:val="00956C41"/>
    <w:rsid w:val="009573E7"/>
    <w:rsid w:val="009612EC"/>
    <w:rsid w:val="00963E05"/>
    <w:rsid w:val="00964A45"/>
    <w:rsid w:val="009675CB"/>
    <w:rsid w:val="00967843"/>
    <w:rsid w:val="00967D54"/>
    <w:rsid w:val="00971028"/>
    <w:rsid w:val="00993B84"/>
    <w:rsid w:val="00996171"/>
    <w:rsid w:val="00996483"/>
    <w:rsid w:val="0099670B"/>
    <w:rsid w:val="00996F5A"/>
    <w:rsid w:val="009A4FEE"/>
    <w:rsid w:val="009B041A"/>
    <w:rsid w:val="009B22BC"/>
    <w:rsid w:val="009C08F3"/>
    <w:rsid w:val="009C37C3"/>
    <w:rsid w:val="009C7BA4"/>
    <w:rsid w:val="009C7C86"/>
    <w:rsid w:val="009D2FF7"/>
    <w:rsid w:val="009D3034"/>
    <w:rsid w:val="009D3E4A"/>
    <w:rsid w:val="009D6C2E"/>
    <w:rsid w:val="009E181F"/>
    <w:rsid w:val="009E7884"/>
    <w:rsid w:val="009E788A"/>
    <w:rsid w:val="009F0E08"/>
    <w:rsid w:val="00A16832"/>
    <w:rsid w:val="00A1763D"/>
    <w:rsid w:val="00A17CEC"/>
    <w:rsid w:val="00A27EF0"/>
    <w:rsid w:val="00A4154F"/>
    <w:rsid w:val="00A42361"/>
    <w:rsid w:val="00A50B20"/>
    <w:rsid w:val="00A51390"/>
    <w:rsid w:val="00A5550F"/>
    <w:rsid w:val="00A60D13"/>
    <w:rsid w:val="00A72745"/>
    <w:rsid w:val="00A74C98"/>
    <w:rsid w:val="00A76EFC"/>
    <w:rsid w:val="00A77A7D"/>
    <w:rsid w:val="00A87821"/>
    <w:rsid w:val="00A91010"/>
    <w:rsid w:val="00A93579"/>
    <w:rsid w:val="00A97F29"/>
    <w:rsid w:val="00AA6024"/>
    <w:rsid w:val="00AA702E"/>
    <w:rsid w:val="00AB0964"/>
    <w:rsid w:val="00AB22FB"/>
    <w:rsid w:val="00AB5011"/>
    <w:rsid w:val="00AC7368"/>
    <w:rsid w:val="00AD16B9"/>
    <w:rsid w:val="00AE210E"/>
    <w:rsid w:val="00AE377D"/>
    <w:rsid w:val="00AE5566"/>
    <w:rsid w:val="00AF0EBA"/>
    <w:rsid w:val="00B02C8A"/>
    <w:rsid w:val="00B06E41"/>
    <w:rsid w:val="00B15392"/>
    <w:rsid w:val="00B16BDD"/>
    <w:rsid w:val="00B17FBD"/>
    <w:rsid w:val="00B315A6"/>
    <w:rsid w:val="00B31813"/>
    <w:rsid w:val="00B32C9E"/>
    <w:rsid w:val="00B33365"/>
    <w:rsid w:val="00B33C95"/>
    <w:rsid w:val="00B377D1"/>
    <w:rsid w:val="00B4206C"/>
    <w:rsid w:val="00B426F5"/>
    <w:rsid w:val="00B53D83"/>
    <w:rsid w:val="00B5770D"/>
    <w:rsid w:val="00B57B36"/>
    <w:rsid w:val="00B57E6F"/>
    <w:rsid w:val="00B76631"/>
    <w:rsid w:val="00B8686D"/>
    <w:rsid w:val="00B90963"/>
    <w:rsid w:val="00B93F69"/>
    <w:rsid w:val="00BB1DDC"/>
    <w:rsid w:val="00BC27E3"/>
    <w:rsid w:val="00BC30C9"/>
    <w:rsid w:val="00BD077D"/>
    <w:rsid w:val="00BD22B2"/>
    <w:rsid w:val="00BE3E58"/>
    <w:rsid w:val="00BE6C12"/>
    <w:rsid w:val="00BF3AC7"/>
    <w:rsid w:val="00C01616"/>
    <w:rsid w:val="00C0162B"/>
    <w:rsid w:val="00C068ED"/>
    <w:rsid w:val="00C07B27"/>
    <w:rsid w:val="00C22E0C"/>
    <w:rsid w:val="00C33904"/>
    <w:rsid w:val="00C345B1"/>
    <w:rsid w:val="00C40142"/>
    <w:rsid w:val="00C457A5"/>
    <w:rsid w:val="00C52C3C"/>
    <w:rsid w:val="00C57182"/>
    <w:rsid w:val="00C57863"/>
    <w:rsid w:val="00C655FD"/>
    <w:rsid w:val="00C75407"/>
    <w:rsid w:val="00C80CF9"/>
    <w:rsid w:val="00C85933"/>
    <w:rsid w:val="00C870A8"/>
    <w:rsid w:val="00C941EF"/>
    <w:rsid w:val="00C94434"/>
    <w:rsid w:val="00C977D7"/>
    <w:rsid w:val="00CA0D75"/>
    <w:rsid w:val="00CA1C95"/>
    <w:rsid w:val="00CA5A9C"/>
    <w:rsid w:val="00CC3312"/>
    <w:rsid w:val="00CC4C20"/>
    <w:rsid w:val="00CC6A98"/>
    <w:rsid w:val="00CD1B77"/>
    <w:rsid w:val="00CD3517"/>
    <w:rsid w:val="00CD5FE2"/>
    <w:rsid w:val="00CE0F62"/>
    <w:rsid w:val="00CE3E18"/>
    <w:rsid w:val="00CE7C68"/>
    <w:rsid w:val="00D028CA"/>
    <w:rsid w:val="00D02B4C"/>
    <w:rsid w:val="00D040C4"/>
    <w:rsid w:val="00D1423E"/>
    <w:rsid w:val="00D34F29"/>
    <w:rsid w:val="00D37B85"/>
    <w:rsid w:val="00D40484"/>
    <w:rsid w:val="00D42B12"/>
    <w:rsid w:val="00D46B7E"/>
    <w:rsid w:val="00D57C84"/>
    <w:rsid w:val="00D6057D"/>
    <w:rsid w:val="00D71640"/>
    <w:rsid w:val="00D73B66"/>
    <w:rsid w:val="00D82E20"/>
    <w:rsid w:val="00D836C5"/>
    <w:rsid w:val="00D84576"/>
    <w:rsid w:val="00D85C5C"/>
    <w:rsid w:val="00D92233"/>
    <w:rsid w:val="00D96CB0"/>
    <w:rsid w:val="00DA1399"/>
    <w:rsid w:val="00DA24C6"/>
    <w:rsid w:val="00DA4D7B"/>
    <w:rsid w:val="00DB0F56"/>
    <w:rsid w:val="00DC4E2F"/>
    <w:rsid w:val="00DD1139"/>
    <w:rsid w:val="00DE264A"/>
    <w:rsid w:val="00DE2947"/>
    <w:rsid w:val="00DE3448"/>
    <w:rsid w:val="00DF5072"/>
    <w:rsid w:val="00E02D18"/>
    <w:rsid w:val="00E041E7"/>
    <w:rsid w:val="00E161A2"/>
    <w:rsid w:val="00E23CA1"/>
    <w:rsid w:val="00E40269"/>
    <w:rsid w:val="00E409A8"/>
    <w:rsid w:val="00E43F9B"/>
    <w:rsid w:val="00E50C12"/>
    <w:rsid w:val="00E63172"/>
    <w:rsid w:val="00E6454B"/>
    <w:rsid w:val="00E65B91"/>
    <w:rsid w:val="00E71BCD"/>
    <w:rsid w:val="00E7209D"/>
    <w:rsid w:val="00E72EAD"/>
    <w:rsid w:val="00E77223"/>
    <w:rsid w:val="00E8528B"/>
    <w:rsid w:val="00E85B94"/>
    <w:rsid w:val="00E85FF6"/>
    <w:rsid w:val="00E978D0"/>
    <w:rsid w:val="00EA4613"/>
    <w:rsid w:val="00EA7F91"/>
    <w:rsid w:val="00EB1523"/>
    <w:rsid w:val="00EB5281"/>
    <w:rsid w:val="00EC0E49"/>
    <w:rsid w:val="00EC101F"/>
    <w:rsid w:val="00EC1D9F"/>
    <w:rsid w:val="00EC42B9"/>
    <w:rsid w:val="00ED7ED1"/>
    <w:rsid w:val="00ED7FA5"/>
    <w:rsid w:val="00EE0131"/>
    <w:rsid w:val="00EE17B0"/>
    <w:rsid w:val="00EF06D9"/>
    <w:rsid w:val="00EF6BC8"/>
    <w:rsid w:val="00F05EDB"/>
    <w:rsid w:val="00F125F9"/>
    <w:rsid w:val="00F13103"/>
    <w:rsid w:val="00F20FAB"/>
    <w:rsid w:val="00F27286"/>
    <w:rsid w:val="00F30C64"/>
    <w:rsid w:val="00F32BA2"/>
    <w:rsid w:val="00F32CDB"/>
    <w:rsid w:val="00F45A85"/>
    <w:rsid w:val="00F45AF3"/>
    <w:rsid w:val="00F565FE"/>
    <w:rsid w:val="00F63A70"/>
    <w:rsid w:val="00F65F0F"/>
    <w:rsid w:val="00F74159"/>
    <w:rsid w:val="00F7534E"/>
    <w:rsid w:val="00F77BC1"/>
    <w:rsid w:val="00FA1802"/>
    <w:rsid w:val="00FA21D0"/>
    <w:rsid w:val="00FA5F5F"/>
    <w:rsid w:val="00FB002E"/>
    <w:rsid w:val="00FB52DD"/>
    <w:rsid w:val="00FB575F"/>
    <w:rsid w:val="00FB730C"/>
    <w:rsid w:val="00FC2695"/>
    <w:rsid w:val="00FC38A1"/>
    <w:rsid w:val="00FC3E03"/>
    <w:rsid w:val="00FC3FC1"/>
    <w:rsid w:val="00FD7D10"/>
    <w:rsid w:val="00FF60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53D8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53D8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ED7FA5"/>
    <w:rPr>
      <w:color w:val="605E5C"/>
      <w:shd w:val="clear" w:color="auto" w:fill="E1DFDD"/>
    </w:rPr>
  </w:style>
  <w:style w:type="character" w:customStyle="1" w:styleId="ng-star-inserted">
    <w:name w:val="ng-star-inserted"/>
    <w:basedOn w:val="Fuentedeprrafopredeter"/>
    <w:rsid w:val="005E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05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617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merckmillipore.com/CO/es/product/LB-broth-MILLER,MDA_CHEM-110285"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corpogen.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4F0F-A685-4AF9-A32D-977DEF97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15182</Characters>
  <Application>Microsoft Office Word</Application>
  <DocSecurity>0</DocSecurity>
  <Lines>126</Lines>
  <Paragraphs>35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DMF</dc:creator>
  <cp:lastModifiedBy>Asus</cp:lastModifiedBy>
  <cp:revision>2</cp:revision>
  <cp:lastPrinted>2015-05-12T18:31:00Z</cp:lastPrinted>
  <dcterms:created xsi:type="dcterms:W3CDTF">2022-03-11T22:40:00Z</dcterms:created>
  <dcterms:modified xsi:type="dcterms:W3CDTF">2022-03-11T22:40:00Z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